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霸州市城市管理行政执法局2018年部门预算信息公开</w:t>
      </w:r>
    </w:p>
    <w:p>
      <w:pPr>
        <w:ind w:firstLine="640" w:firstLineChars="200"/>
        <w:rPr>
          <w:rFonts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按照《预算法》、《地方预决算公开操作规程》和《河北省省级预算公开办法》规定，现将霸州市城市管理行政执法局2018年部门预算公开如下：</w:t>
      </w:r>
    </w:p>
    <w:p>
      <w:pPr>
        <w:ind w:firstLine="640"/>
        <w:rPr>
          <w:rFonts w:ascii="黑体" w:eastAsia="黑体" w:cs="Times New Roman" w:hAnsiTheme="majorEastAsia"/>
          <w:bCs/>
          <w:sz w:val="32"/>
          <w:szCs w:val="32"/>
        </w:rPr>
      </w:pPr>
      <w:r>
        <w:rPr>
          <w:rFonts w:hint="eastAsia" w:ascii="黑体" w:eastAsia="黑体" w:cs="Times New Roman" w:hAnsiTheme="majorEastAsia"/>
          <w:bCs/>
          <w:sz w:val="32"/>
          <w:szCs w:val="32"/>
        </w:rPr>
        <w:t>一、部门职责及机构设置情况</w:t>
      </w:r>
    </w:p>
    <w:p>
      <w:pPr>
        <w:ind w:firstLine="643" w:firstLineChars="200"/>
        <w:rPr>
          <w:rFonts w:ascii="楷体_GB2312" w:eastAsia="楷体_GB2312" w:cs="Times New Roman" w:hAnsiTheme="majorEastAsia"/>
          <w:b/>
          <w:sz w:val="32"/>
          <w:szCs w:val="32"/>
        </w:rPr>
      </w:pPr>
      <w:r>
        <w:rPr>
          <w:rFonts w:hint="eastAsia" w:ascii="楷体" w:hAnsi="楷体" w:eastAsia="楷体" w:cs="楷体"/>
          <w:b/>
          <w:sz w:val="32"/>
          <w:szCs w:val="32"/>
        </w:rPr>
        <w:t>部门职责</w:t>
      </w:r>
      <w:r>
        <w:rPr>
          <w:rFonts w:hint="eastAsia" w:ascii="楷体_GB2312" w:eastAsia="楷体_GB2312" w:cs="Times New Roman" w:hAnsiTheme="majorEastAsia"/>
          <w:b/>
          <w:sz w:val="32"/>
          <w:szCs w:val="32"/>
        </w:rPr>
        <w:t>：</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（一）根据国家和省、廊坊市及我市城市管理方面的法律、法规、规章，拟定全市城市管理规章制度，并付诸实施。</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（二）行使市容环境卫生管理方面法律、法规、规章规定的全部行政处罚权；履行市容环境卫生管理方面法律、法规、规章规定的有关职责</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（三）行使城市绿化管理方面法律、法规、规章规定的全部行政处罚权；</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四）行使城乡规划管理方面法律、法规、规章规定的全部行政处罚权；对城乡规划范围内未取得建设工程规划许可证或者违反建设工程规划许可证的建设工程实施处罚；按城市规划行使审核、监督、处罚权；按有关规定和法定程序，强制拆除违法建筑物或者设施</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（五）行使工商行政管理方面法律、法规、规章规定的对无照商贩的监督管理和行政处罚权；</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（六）行使对侵占城市规划区内人行道、公共场地等行为的行政处罚权；行使临时占道审批管理权及依法收取占道费</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（七）行使市政、公用设施管理方面法律、法规、规章规定的全部行政处罚权</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（八）行使对基础设施施工现场和建筑工地围场作业的监督管理和行政处罚权</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（九）行使环境保护方面法律、法规、规章规定的室外噪音扰民等环境污染的行政处罚权</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（十）行使对市区各种客运出租车辆的营运审核权和行政处罚权</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（十一）行使交通运输管理方面法律、法规、规章规定的对市区内散装货物运输的监督管理和行政处罚权</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（十二）依据有关法律、法规、规章，负责城市管理相关规定、通告、通知等规范性文件的起草、宣传、贯彻落实工作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（十三）负责受理上级批转的信访案件和群众举报案件及办理人大、政协建议、提案工作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（十四）负责干部职工思想政治教育及业务培训工作，局内党（团）员的发展、教育、管理工作，工、青、妇及计划生育、安全保卫工作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（十五）履行法律、法规、规章或者省、廊坊市及我市人民政府规定的其他职责</w:t>
      </w:r>
    </w:p>
    <w:p>
      <w:pPr>
        <w:autoSpaceDE w:val="0"/>
        <w:autoSpaceDN w:val="0"/>
        <w:adjustRightInd w:val="0"/>
        <w:ind w:firstLine="643" w:firstLineChars="200"/>
        <w:jc w:val="left"/>
        <w:rPr>
          <w:rFonts w:ascii="楷体_GB2312" w:eastAsia="楷体_GB2312" w:cs="Times New Roman" w:hAnsiTheme="majorEastAsia"/>
          <w:b/>
          <w:sz w:val="32"/>
          <w:szCs w:val="32"/>
        </w:rPr>
      </w:pPr>
      <w:r>
        <w:rPr>
          <w:rFonts w:hint="eastAsia" w:ascii="楷体_GB2312" w:eastAsia="楷体_GB2312" w:cs="Times New Roman" w:hAnsiTheme="majorEastAsia"/>
          <w:b/>
          <w:sz w:val="32"/>
          <w:szCs w:val="32"/>
        </w:rPr>
        <w:t>机构设置：</w:t>
      </w:r>
    </w:p>
    <w:p>
      <w:pPr>
        <w:jc w:val="center"/>
        <w:outlineLvl w:val="0"/>
        <w:rPr>
          <w:rFonts w:ascii="方正仿宋_GBK" w:eastAsia="方正仿宋_GBK" w:cs="Times New Roman" w:hAnsiTheme="majorEastAsia"/>
          <w:sz w:val="32"/>
          <w:szCs w:val="24"/>
        </w:rPr>
      </w:pPr>
      <w:r>
        <w:rPr>
          <w:rFonts w:hint="eastAsia" w:ascii="方正仿宋_GBK" w:eastAsia="方正仿宋_GBK" w:cs="Times New Roman" w:hAnsiTheme="majorEastAsia"/>
          <w:sz w:val="32"/>
          <w:szCs w:val="24"/>
        </w:rPr>
        <w:t>部门机构设置情况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单位名称</w:t>
            </w:r>
          </w:p>
        </w:tc>
        <w:tc>
          <w:tcPr>
            <w:tcW w:w="1134"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单位性质</w:t>
            </w:r>
          </w:p>
        </w:tc>
        <w:tc>
          <w:tcPr>
            <w:tcW w:w="1276"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单位规格</w:t>
            </w:r>
          </w:p>
        </w:tc>
        <w:tc>
          <w:tcPr>
            <w:tcW w:w="2902"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c>
          <w:tcPr>
            <w:tcW w:w="1134"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c>
          <w:tcPr>
            <w:tcW w:w="1276"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c>
          <w:tcPr>
            <w:tcW w:w="2902"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hAnsiTheme="majorEastAsia"/>
              </w:rPr>
              <w:t>霸州市城市管理行政执法局</w:t>
            </w:r>
          </w:p>
        </w:tc>
        <w:tc>
          <w:tcPr>
            <w:tcW w:w="1134"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cs="Times New Roman" w:hAnsiTheme="majorEastAsia"/>
                <w:szCs w:val="24"/>
              </w:rPr>
              <w:t>行政</w:t>
            </w:r>
          </w:p>
        </w:tc>
        <w:tc>
          <w:tcPr>
            <w:tcW w:w="1276"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cs="Times New Roman" w:hAnsiTheme="majorEastAsia"/>
                <w:szCs w:val="24"/>
              </w:rPr>
              <w:t>正科级</w:t>
            </w:r>
          </w:p>
        </w:tc>
        <w:tc>
          <w:tcPr>
            <w:tcW w:w="2902"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hAnsiTheme="majorEastAsia"/>
              </w:rPr>
              <w:t>财政拨款</w:t>
            </w:r>
          </w:p>
        </w:tc>
      </w:tr>
    </w:tbl>
    <w:p>
      <w:pPr>
        <w:ind w:firstLine="640"/>
        <w:rPr>
          <w:rFonts w:ascii="黑体" w:eastAsia="黑体" w:cs="Times New Roman" w:hAnsiTheme="majorEastAsia"/>
          <w:bCs/>
          <w:sz w:val="32"/>
          <w:szCs w:val="32"/>
        </w:rPr>
      </w:pPr>
      <w:r>
        <w:rPr>
          <w:rFonts w:hint="eastAsia" w:ascii="黑体" w:eastAsia="黑体" w:cs="Times New Roman" w:hAnsiTheme="majorEastAsia"/>
          <w:bCs/>
          <w:sz w:val="32"/>
          <w:szCs w:val="32"/>
        </w:rPr>
        <w:t>二、部门预算安排的总体情况</w:t>
      </w:r>
    </w:p>
    <w:p>
      <w:pPr>
        <w:ind w:firstLine="640"/>
        <w:rPr>
          <w:rFonts w:ascii="仿宋_GB2312" w:eastAsia="仿宋_GB2312" w:cs="Times New Roman" w:hAnsiTheme="majorEastAsia"/>
          <w:sz w:val="32"/>
          <w:szCs w:val="32"/>
        </w:rPr>
      </w:pPr>
      <w:r>
        <w:rPr>
          <w:rFonts w:hint="eastAsia" w:ascii="仿宋" w:hAnsi="仿宋" w:eastAsia="仿宋" w:cs="仿宋"/>
          <w:sz w:val="32"/>
          <w:szCs w:val="32"/>
        </w:rPr>
        <w:t>按照预算管理有关规定，目前我市部门预算的编制实行综合预算制度，即全部收入和支出都反映在预算中。</w:t>
      </w:r>
    </w:p>
    <w:p>
      <w:pPr>
        <w:ind w:firstLine="640"/>
        <w:rPr>
          <w:rFonts w:ascii="楷体" w:hAnsi="楷体" w:eastAsia="楷体" w:cs="楷体"/>
          <w:b/>
          <w:sz w:val="32"/>
          <w:szCs w:val="32"/>
        </w:rPr>
      </w:pPr>
      <w:r>
        <w:rPr>
          <w:rFonts w:hint="eastAsia" w:ascii="楷体" w:hAnsi="楷体" w:eastAsia="楷体" w:cs="楷体"/>
          <w:b/>
          <w:sz w:val="32"/>
          <w:szCs w:val="32"/>
        </w:rPr>
        <w:t>1、收入说明</w:t>
      </w:r>
    </w:p>
    <w:p>
      <w:pPr>
        <w:ind w:firstLine="640"/>
        <w:rPr>
          <w:rFonts w:ascii="仿宋" w:hAnsi="仿宋" w:eastAsia="仿宋" w:cs="仿宋"/>
          <w:sz w:val="32"/>
          <w:szCs w:val="32"/>
        </w:rPr>
      </w:pPr>
      <w:r>
        <w:rPr>
          <w:rFonts w:hint="eastAsia" w:ascii="仿宋" w:hAnsi="仿宋" w:eastAsia="仿宋" w:cs="仿宋"/>
          <w:sz w:val="32"/>
          <w:szCs w:val="32"/>
        </w:rPr>
        <w:t>反映本部门当年全部收入。2018年预算收入4372.82万元，其中：一般公共预算收入4343.82万元，政府性基金收入29万元，国有资本经营收入0万元，上级补助收入0万元，事业收入0万元，经营收入0万元，附属单位上缴收入0万元，其他收入0万元。</w:t>
      </w:r>
    </w:p>
    <w:p>
      <w:pPr>
        <w:ind w:firstLine="640"/>
        <w:rPr>
          <w:rFonts w:ascii="楷体" w:hAnsi="楷体" w:eastAsia="楷体" w:cs="楷体"/>
          <w:b/>
          <w:sz w:val="32"/>
          <w:szCs w:val="32"/>
        </w:rPr>
      </w:pPr>
      <w:r>
        <w:rPr>
          <w:rFonts w:hint="eastAsia" w:ascii="楷体" w:hAnsi="楷体" w:eastAsia="楷体" w:cs="楷体"/>
          <w:b/>
          <w:sz w:val="32"/>
          <w:szCs w:val="32"/>
        </w:rPr>
        <w:t>2、支出说明</w:t>
      </w:r>
    </w:p>
    <w:p>
      <w:pPr>
        <w:ind w:firstLine="640"/>
        <w:rPr>
          <w:rFonts w:ascii="仿宋_GB2312" w:eastAsia="仿宋_GB2312" w:cs="Times New Roman" w:hAnsiTheme="majorEastAsia"/>
          <w:sz w:val="32"/>
          <w:szCs w:val="32"/>
        </w:rPr>
      </w:pPr>
      <w:r>
        <w:rPr>
          <w:rFonts w:hint="eastAsia" w:ascii="仿宋" w:hAnsi="仿宋" w:eastAsia="仿宋" w:cs="仿宋"/>
          <w:sz w:val="32"/>
          <w:szCs w:val="32"/>
        </w:rPr>
        <w:t>收支预算总表支出栏、基本支出表、项目支出表按经济分类和支出功能分类科目编制，反映霸州市城市管理行政执法局年度部门预算中支出预算的总体情况。2018年本部门支出预算</w:t>
      </w:r>
      <w:r>
        <w:rPr>
          <w:rFonts w:ascii="仿宋" w:hAnsi="仿宋" w:eastAsia="仿宋" w:cs="仿宋"/>
          <w:sz w:val="32"/>
          <w:szCs w:val="32"/>
        </w:rPr>
        <w:t>4372.82</w:t>
      </w:r>
      <w:r>
        <w:rPr>
          <w:rFonts w:hint="eastAsia" w:ascii="仿宋" w:hAnsi="仿宋" w:eastAsia="仿宋" w:cs="仿宋"/>
          <w:sz w:val="32"/>
          <w:szCs w:val="32"/>
        </w:rPr>
        <w:t>万元，其中基本支出</w:t>
      </w:r>
      <w:r>
        <w:rPr>
          <w:rFonts w:ascii="仿宋" w:hAnsi="仿宋" w:eastAsia="仿宋" w:cs="仿宋"/>
          <w:sz w:val="32"/>
          <w:szCs w:val="32"/>
        </w:rPr>
        <w:t>3880.12</w:t>
      </w:r>
      <w:r>
        <w:rPr>
          <w:rFonts w:hint="eastAsia" w:ascii="仿宋" w:hAnsi="仿宋" w:eastAsia="仿宋" w:cs="仿宋"/>
          <w:sz w:val="32"/>
          <w:szCs w:val="32"/>
        </w:rPr>
        <w:t>万元，包括：人员经费3553.82万元和日常公用经费326.30万元；项目支出</w:t>
      </w:r>
      <w:r>
        <w:rPr>
          <w:rFonts w:ascii="仿宋" w:hAnsi="仿宋" w:eastAsia="仿宋" w:cs="仿宋"/>
          <w:sz w:val="32"/>
          <w:szCs w:val="32"/>
        </w:rPr>
        <w:t>492.7</w:t>
      </w:r>
      <w:r>
        <w:rPr>
          <w:rFonts w:hint="eastAsia" w:ascii="仿宋" w:hAnsi="仿宋" w:eastAsia="仿宋" w:cs="仿宋"/>
          <w:sz w:val="32"/>
          <w:szCs w:val="32"/>
        </w:rPr>
        <w:t>万元，全部为本级支出，主要为冯庄土地租赁经费10.8万元、劳务派遣人员执法巡查经费10万元、电动执法车辆购置经费144万元、胜芳分局办公用房租赁经费67万元、执法服装购置经费120.4万元、胜芳分局三轮车治理工作经费31万元、数字城管运行经费24万元、停车保管费用42万元、112国道部分路段、霸杨路广告牌匾及两侧建筑物粉刷工程资金29万元、采暖锅炉购置经费14.5万元等;上缴上级支出0万元，经营支出0万元，对附属单位补助支出0万元。</w:t>
      </w:r>
    </w:p>
    <w:p>
      <w:pPr>
        <w:ind w:firstLine="640"/>
        <w:rPr>
          <w:rFonts w:ascii="楷体" w:hAnsi="楷体" w:eastAsia="楷体" w:cs="楷体"/>
          <w:b/>
          <w:sz w:val="32"/>
          <w:szCs w:val="32"/>
        </w:rPr>
      </w:pPr>
      <w:r>
        <w:rPr>
          <w:rFonts w:hint="eastAsia" w:ascii="楷体" w:hAnsi="楷体" w:eastAsia="楷体" w:cs="楷体"/>
          <w:b/>
          <w:sz w:val="32"/>
          <w:szCs w:val="32"/>
        </w:rPr>
        <w:t>3、比上年增减情况</w:t>
      </w:r>
    </w:p>
    <w:p>
      <w:pPr>
        <w:ind w:firstLine="640"/>
        <w:rPr>
          <w:rFonts w:ascii="仿宋" w:hAnsi="仿宋" w:eastAsia="仿宋" w:cs="仿宋"/>
          <w:sz w:val="32"/>
          <w:szCs w:val="32"/>
        </w:rPr>
      </w:pPr>
      <w:r>
        <w:rPr>
          <w:rFonts w:hint="eastAsia" w:ascii="仿宋" w:hAnsi="仿宋" w:eastAsia="仿宋" w:cs="仿宋"/>
          <w:sz w:val="32"/>
          <w:szCs w:val="32"/>
        </w:rPr>
        <w:t>2018年预算收支安排</w:t>
      </w:r>
      <w:r>
        <w:rPr>
          <w:rFonts w:ascii="仿宋" w:hAnsi="仿宋" w:eastAsia="仿宋" w:cs="仿宋"/>
          <w:sz w:val="32"/>
          <w:szCs w:val="32"/>
        </w:rPr>
        <w:t>4372.82</w:t>
      </w:r>
      <w:r>
        <w:rPr>
          <w:rFonts w:hint="eastAsia" w:ascii="仿宋" w:hAnsi="仿宋" w:eastAsia="仿宋" w:cs="仿宋"/>
          <w:sz w:val="32"/>
          <w:szCs w:val="32"/>
        </w:rPr>
        <w:t>万元，较2017年预算增加1614.18万元，其中：基本支出增加1300.28万元，主要为增加人员经费支出；项目支出增加313.90万元，主要为增加电动执法车购置、胜芳分局办公用房租赁、执法服装购置等项目支出。</w:t>
      </w: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三、机关运行经费安排情况</w:t>
      </w:r>
    </w:p>
    <w:p>
      <w:pPr>
        <w:autoSpaceDE w:val="0"/>
        <w:autoSpaceDN w:val="0"/>
        <w:adjustRightInd w:val="0"/>
        <w:ind w:firstLine="640" w:firstLineChars="200"/>
        <w:jc w:val="left"/>
        <w:rPr>
          <w:rFonts w:ascii="仿宋_GB2312" w:eastAsia="仿宋_GB2312" w:cs="Times New Roman" w:hAnsiTheme="majorEastAsia"/>
          <w:sz w:val="32"/>
          <w:szCs w:val="32"/>
        </w:rPr>
      </w:pPr>
      <w:r>
        <w:rPr>
          <w:rFonts w:hint="eastAsia" w:ascii="仿宋" w:hAnsi="仿宋" w:eastAsia="仿宋" w:cs="仿宋"/>
          <w:sz w:val="32"/>
          <w:szCs w:val="32"/>
        </w:rPr>
        <w:t>机关运行经费共计安排326.30万元，主要用于局内办公区的日常维修、办公用房水电费、办公用房取暖费、办公及印刷费、邮电费、差旅费、福利费、劳务费、办公用房物业管理费、公务用车运行维护费以及其他费用等日常运行支出。</w:t>
      </w: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四、财政拨款“三公”经费预算情况及增减变化原因</w:t>
      </w:r>
    </w:p>
    <w:p>
      <w:pPr>
        <w:ind w:firstLine="640" w:firstLineChars="200"/>
        <w:rPr>
          <w:rFonts w:ascii="仿宋_GB2312" w:hAnsi="Times New Roman" w:eastAsia="仿宋_GB2312" w:cs="Times New Roman"/>
          <w:sz w:val="32"/>
          <w:szCs w:val="32"/>
        </w:rPr>
      </w:pPr>
      <w:r>
        <w:rPr>
          <w:rFonts w:ascii="仿宋" w:hAnsi="仿宋" w:eastAsia="仿宋" w:cs="仿宋"/>
          <w:sz w:val="32"/>
          <w:szCs w:val="32"/>
        </w:rPr>
        <w:t>2018</w:t>
      </w:r>
      <w:r>
        <w:rPr>
          <w:rFonts w:hint="eastAsia" w:ascii="仿宋" w:hAnsi="仿宋" w:eastAsia="仿宋" w:cs="仿宋"/>
          <w:sz w:val="32"/>
          <w:szCs w:val="32"/>
        </w:rPr>
        <w:t>年，霸州市城市管理行政执法局“三公”经费预算安排90.44万元，其中因公出国（境）费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万元；公务用车购置及运维费87.5万元（其中：公务用车购置费为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万元，公务用车运行维护费87.5万元</w:t>
      </w:r>
      <w:r>
        <w:rPr>
          <w:rFonts w:ascii="仿宋" w:hAnsi="仿宋" w:eastAsia="仿宋" w:cs="仿宋"/>
          <w:sz w:val="32"/>
          <w:szCs w:val="32"/>
        </w:rPr>
        <w:t>)</w:t>
      </w:r>
      <w:r>
        <w:rPr>
          <w:rFonts w:hint="eastAsia" w:ascii="仿宋" w:hAnsi="仿宋" w:eastAsia="仿宋" w:cs="仿宋"/>
          <w:sz w:val="32"/>
          <w:szCs w:val="32"/>
        </w:rPr>
        <w:t>；公务接待费2.94万元，较</w:t>
      </w:r>
      <w:r>
        <w:rPr>
          <w:rFonts w:ascii="仿宋" w:hAnsi="仿宋" w:eastAsia="仿宋" w:cs="仿宋"/>
          <w:sz w:val="32"/>
          <w:szCs w:val="32"/>
        </w:rPr>
        <w:t>2017</w:t>
      </w:r>
      <w:r>
        <w:rPr>
          <w:rFonts w:hint="eastAsia" w:ascii="仿宋" w:hAnsi="仿宋" w:eastAsia="仿宋" w:cs="仿宋"/>
          <w:sz w:val="32"/>
          <w:szCs w:val="32"/>
        </w:rPr>
        <w:t>年“三公”经费增加1.46万元。主要原因是因为因公出国（境）费与</w:t>
      </w:r>
      <w:r>
        <w:rPr>
          <w:rFonts w:ascii="仿宋" w:hAnsi="仿宋" w:eastAsia="仿宋" w:cs="仿宋"/>
          <w:sz w:val="32"/>
          <w:szCs w:val="32"/>
        </w:rPr>
        <w:t>2017</w:t>
      </w:r>
      <w:r>
        <w:rPr>
          <w:rFonts w:hint="eastAsia" w:ascii="仿宋" w:hAnsi="仿宋" w:eastAsia="仿宋" w:cs="仿宋"/>
          <w:sz w:val="32"/>
          <w:szCs w:val="32"/>
        </w:rPr>
        <w:t>年持平，无增减变化；公务用车购置费与</w:t>
      </w:r>
      <w:r>
        <w:rPr>
          <w:rFonts w:ascii="仿宋" w:hAnsi="仿宋" w:eastAsia="仿宋" w:cs="仿宋"/>
          <w:sz w:val="32"/>
          <w:szCs w:val="32"/>
        </w:rPr>
        <w:t>2017</w:t>
      </w:r>
      <w:r>
        <w:rPr>
          <w:rFonts w:hint="eastAsia" w:ascii="仿宋" w:hAnsi="仿宋" w:eastAsia="仿宋" w:cs="仿宋"/>
          <w:sz w:val="32"/>
          <w:szCs w:val="32"/>
        </w:rPr>
        <w:t>年持平，无增减变化；公务用车运行维护费较</w:t>
      </w:r>
      <w:r>
        <w:rPr>
          <w:rFonts w:ascii="仿宋" w:hAnsi="仿宋" w:eastAsia="仿宋" w:cs="仿宋"/>
          <w:sz w:val="32"/>
          <w:szCs w:val="32"/>
        </w:rPr>
        <w:t>2017</w:t>
      </w:r>
      <w:r>
        <w:rPr>
          <w:rFonts w:hint="eastAsia" w:ascii="仿宋" w:hAnsi="仿宋" w:eastAsia="仿宋" w:cs="仿宋"/>
          <w:sz w:val="32"/>
          <w:szCs w:val="32"/>
        </w:rPr>
        <w:t>年增加82.5万元，增加原因是我部门根据公车改革制度规定增加执法执勤编制车辆33辆；公务接待费增加1.46万元，增加原因为计提基数增加。</w:t>
      </w:r>
    </w:p>
    <w:p>
      <w:pPr>
        <w:ind w:firstLine="643" w:firstLineChars="200"/>
        <w:rPr>
          <w:rFonts w:ascii="黑体" w:eastAsia="黑体" w:cs="Times New Roman" w:hAnsiTheme="majorEastAsia"/>
          <w:b/>
          <w:sz w:val="32"/>
          <w:szCs w:val="32"/>
        </w:rPr>
      </w:pPr>
      <w:r>
        <w:rPr>
          <w:rFonts w:hint="eastAsia" w:ascii="黑体" w:eastAsia="黑体" w:cs="Times New Roman" w:hAnsiTheme="majorEastAsia"/>
          <w:b/>
          <w:sz w:val="32"/>
          <w:szCs w:val="32"/>
        </w:rPr>
        <w:t>五、绩效预算信息</w:t>
      </w:r>
    </w:p>
    <w:p>
      <w:pPr>
        <w:ind w:firstLine="643" w:firstLineChars="200"/>
        <w:jc w:val="left"/>
        <w:rPr>
          <w:rFonts w:ascii="楷体" w:hAnsi="楷体" w:eastAsia="楷体" w:cs="楷体"/>
          <w:b/>
          <w:sz w:val="32"/>
          <w:szCs w:val="32"/>
        </w:rPr>
      </w:pPr>
      <w:bookmarkStart w:id="0" w:name="_Toc471398463"/>
      <w:r>
        <w:rPr>
          <w:rFonts w:hint="eastAsia" w:ascii="楷体" w:hAnsi="楷体" w:eastAsia="楷体" w:cs="楷体"/>
          <w:b/>
          <w:sz w:val="32"/>
          <w:szCs w:val="32"/>
        </w:rPr>
        <w:t>总体绩效目标：</w:t>
      </w:r>
    </w:p>
    <w:p>
      <w:pPr>
        <w:spacing w:line="560" w:lineRule="exact"/>
        <w:ind w:firstLine="640" w:firstLineChars="200"/>
        <w:rPr>
          <w:rFonts w:ascii="仿宋_GB2312" w:hAnsi="Calibri" w:eastAsia="仿宋_GB2312" w:cs="Times New Roman"/>
          <w:sz w:val="28"/>
        </w:rPr>
      </w:pPr>
      <w:r>
        <w:rPr>
          <w:rFonts w:hint="eastAsia" w:ascii="仿宋" w:hAnsi="仿宋" w:eastAsia="仿宋" w:cs="仿宋"/>
          <w:sz w:val="32"/>
          <w:szCs w:val="32"/>
        </w:rPr>
        <w:t>2018年，我局将紧紧围绕大气污染防治、市容环境综合整治、违法建设行为专项治理等重点工作，坚持管理精细化、痕迹化、规范化，努力提升城市管理水平。现根据工作实际和工作目标，制定2018年各部门发展规划如下。</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bCs/>
          <w:sz w:val="32"/>
          <w:szCs w:val="32"/>
        </w:rPr>
        <w:t>（</w:t>
      </w:r>
      <w:r>
        <w:rPr>
          <w:rFonts w:hint="eastAsia" w:ascii="楷体_GB2312" w:hAnsi="Calibri" w:eastAsia="楷体_GB2312" w:cs="Times New Roman"/>
          <w:b/>
          <w:bCs/>
          <w:sz w:val="32"/>
          <w:szCs w:val="32"/>
        </w:rPr>
        <w:t>一</w:t>
      </w:r>
      <w:r>
        <w:rPr>
          <w:rFonts w:hint="eastAsia" w:ascii="楷体_GB2312" w:eastAsia="楷体_GB2312"/>
          <w:b/>
          <w:bCs/>
          <w:sz w:val="32"/>
          <w:szCs w:val="32"/>
        </w:rPr>
        <w:t>）</w:t>
      </w:r>
      <w:r>
        <w:rPr>
          <w:rFonts w:hint="eastAsia" w:ascii="楷体_GB2312" w:hAnsi="Calibri" w:eastAsia="楷体_GB2312" w:cs="Times New Roman"/>
          <w:b/>
          <w:bCs/>
          <w:sz w:val="32"/>
          <w:szCs w:val="32"/>
        </w:rPr>
        <w:t>加大市容环境整治力度。</w:t>
      </w:r>
      <w:r>
        <w:rPr>
          <w:rFonts w:hint="eastAsia" w:ascii="仿宋_GB2312" w:hAnsi="Calibri" w:eastAsia="仿宋_GB2312" w:cs="Times New Roman"/>
          <w:sz w:val="32"/>
          <w:szCs w:val="32"/>
        </w:rPr>
        <w:t>深入开展主次干道、重点区域、校园周边、背街小巷综合治理，集中清理违章经营的流动商贩，规范露天烧烤，清除马路餐桌，取缔店外售货、店外加工修理、店外乱堆乱放，清理六郎桥早市、北杨庄菜市场、西苑便民市场、建设西道集贸市场外溢摊点，引导其入市经营；拆除道路两侧墙体乱贴乱挂广告条幅、乱设广告灯箱，粉刷清理乱涂乱写小广告，全面提升城市管理水平。</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bCs/>
          <w:sz w:val="32"/>
          <w:szCs w:val="32"/>
        </w:rPr>
        <w:t>（</w:t>
      </w:r>
      <w:r>
        <w:rPr>
          <w:rFonts w:hint="eastAsia" w:ascii="楷体_GB2312" w:hAnsi="Calibri" w:eastAsia="楷体_GB2312" w:cs="Times New Roman"/>
          <w:b/>
          <w:bCs/>
          <w:sz w:val="32"/>
          <w:szCs w:val="32"/>
        </w:rPr>
        <w:t>二</w:t>
      </w:r>
      <w:r>
        <w:rPr>
          <w:rFonts w:hint="eastAsia" w:ascii="楷体_GB2312" w:eastAsia="楷体_GB2312"/>
          <w:b/>
          <w:bCs/>
          <w:sz w:val="32"/>
          <w:szCs w:val="32"/>
        </w:rPr>
        <w:t>）</w:t>
      </w:r>
      <w:r>
        <w:rPr>
          <w:rFonts w:hint="eastAsia" w:ascii="楷体_GB2312" w:hAnsi="Calibri" w:eastAsia="楷体_GB2312" w:cs="Times New Roman"/>
          <w:b/>
          <w:bCs/>
          <w:sz w:val="32"/>
          <w:szCs w:val="32"/>
        </w:rPr>
        <w:t>加大露天烧烤打击力度。</w:t>
      </w:r>
      <w:r>
        <w:rPr>
          <w:rFonts w:hint="eastAsia" w:ascii="仿宋_GB2312" w:hAnsi="Calibri" w:eastAsia="仿宋_GB2312" w:cs="Times New Roman"/>
          <w:sz w:val="32"/>
          <w:szCs w:val="32"/>
        </w:rPr>
        <w:t>按照抓重点区域、重点群体，分门别类、疏导结合的工作思路，做好露天烧烤的清理工作。严格管控监测点周边的露天烧烤，对临街、街里露天烧烤进行集中治理，通过严盯死守，严格监督净化设备的使用情况，没有净化设备一律禁止。以盐水河南道为试点，推进所有沿街门店安装室内环保排烟设备，全部室内操作，既治标又要治本。</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bCs/>
          <w:sz w:val="32"/>
          <w:szCs w:val="32"/>
        </w:rPr>
        <w:t>（</w:t>
      </w:r>
      <w:r>
        <w:rPr>
          <w:rFonts w:hint="eastAsia" w:ascii="楷体_GB2312" w:hAnsi="Calibri" w:eastAsia="楷体_GB2312" w:cs="Times New Roman"/>
          <w:b/>
          <w:bCs/>
          <w:sz w:val="32"/>
          <w:szCs w:val="32"/>
        </w:rPr>
        <w:t>三</w:t>
      </w:r>
      <w:r>
        <w:rPr>
          <w:rFonts w:hint="eastAsia" w:ascii="楷体_GB2312" w:eastAsia="楷体_GB2312"/>
          <w:b/>
          <w:bCs/>
          <w:sz w:val="32"/>
          <w:szCs w:val="32"/>
        </w:rPr>
        <w:t>）</w:t>
      </w:r>
      <w:r>
        <w:rPr>
          <w:rFonts w:hint="eastAsia" w:ascii="楷体_GB2312" w:hAnsi="Calibri" w:eastAsia="楷体_GB2312" w:cs="Times New Roman"/>
          <w:b/>
          <w:bCs/>
          <w:sz w:val="32"/>
          <w:szCs w:val="32"/>
        </w:rPr>
        <w:t>强力推进违法违章建筑拆除。</w:t>
      </w:r>
      <w:r>
        <w:rPr>
          <w:rFonts w:hint="eastAsia" w:ascii="仿宋_GB2312" w:hAnsi="Calibri" w:eastAsia="仿宋_GB2312" w:cs="Times New Roman"/>
          <w:sz w:val="32"/>
          <w:szCs w:val="32"/>
        </w:rPr>
        <w:t>推进牤牛河两侧违法违章建筑拆除工作，确保牤牛河升级改造工程顺利实施；持续推进“一区三边”建成区内违法违章建筑拆除工作，严格控制新增违法违章建筑。</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bCs/>
          <w:sz w:val="32"/>
          <w:szCs w:val="32"/>
        </w:rPr>
        <w:t>（四）</w:t>
      </w:r>
      <w:r>
        <w:rPr>
          <w:rFonts w:hint="eastAsia" w:ascii="楷体_GB2312" w:hAnsi="Calibri" w:eastAsia="楷体_GB2312" w:cs="Times New Roman"/>
          <w:b/>
          <w:bCs/>
          <w:sz w:val="32"/>
          <w:szCs w:val="32"/>
        </w:rPr>
        <w:t>规范渣土运输车辆的管理。</w:t>
      </w:r>
      <w:r>
        <w:rPr>
          <w:rFonts w:hint="eastAsia" w:ascii="仿宋_GB2312" w:hAnsi="Calibri" w:eastAsia="仿宋_GB2312" w:cs="Times New Roman"/>
          <w:sz w:val="32"/>
          <w:szCs w:val="32"/>
        </w:rPr>
        <w:t>对已改装符合标准的渣土运输车辆加装苫盖设备和定位设备，理顺渣土运输秩序；对未改装的闲散的以个体经营为主的车辆进行细化整合，转化为以公司化运作为手段的经营方式，实行规范化管理，加快推进改装进度；联合交警部门，逐步取缔不符合标准的渣土运输车辆。</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bCs/>
          <w:sz w:val="32"/>
          <w:szCs w:val="32"/>
        </w:rPr>
        <w:t>（</w:t>
      </w:r>
      <w:r>
        <w:rPr>
          <w:rFonts w:hint="eastAsia" w:ascii="楷体_GB2312" w:hAnsi="Calibri" w:eastAsia="楷体_GB2312" w:cs="Times New Roman"/>
          <w:b/>
          <w:bCs/>
          <w:sz w:val="32"/>
          <w:szCs w:val="32"/>
        </w:rPr>
        <w:t>五</w:t>
      </w:r>
      <w:r>
        <w:rPr>
          <w:rFonts w:hint="eastAsia" w:ascii="楷体_GB2312" w:eastAsia="楷体_GB2312"/>
          <w:b/>
          <w:bCs/>
          <w:sz w:val="32"/>
          <w:szCs w:val="32"/>
        </w:rPr>
        <w:t>）</w:t>
      </w:r>
      <w:r>
        <w:rPr>
          <w:rFonts w:hint="eastAsia" w:ascii="楷体_GB2312" w:hAnsi="Calibri" w:eastAsia="楷体_GB2312" w:cs="Times New Roman"/>
          <w:b/>
          <w:bCs/>
          <w:sz w:val="32"/>
          <w:szCs w:val="32"/>
        </w:rPr>
        <w:t>规范市区规划区施工工地管理。</w:t>
      </w:r>
      <w:r>
        <w:rPr>
          <w:rFonts w:hint="eastAsia" w:ascii="仿宋_GB2312" w:hAnsi="Calibri" w:eastAsia="仿宋_GB2312" w:cs="Times New Roman"/>
          <w:sz w:val="32"/>
          <w:szCs w:val="32"/>
        </w:rPr>
        <w:t>对施工工地进行严格管控，要求施工工地在出入口务必安装监控设备，及时了解施工现场扬尘、运输车辆带泥上路等污染情况，第一时间发现问题，第一时间进行处置。</w:t>
      </w:r>
    </w:p>
    <w:p>
      <w:pPr>
        <w:pStyle w:val="11"/>
        <w:spacing w:line="560" w:lineRule="exact"/>
        <w:ind w:firstLine="643"/>
        <w:rPr>
          <w:rFonts w:ascii="仿宋_GB2312" w:eastAsia="仿宋_GB2312"/>
          <w:sz w:val="32"/>
          <w:szCs w:val="32"/>
        </w:rPr>
      </w:pPr>
      <w:r>
        <w:rPr>
          <w:rFonts w:hint="eastAsia" w:ascii="楷体_GB2312" w:eastAsia="楷体_GB2312"/>
          <w:b/>
          <w:bCs/>
          <w:sz w:val="32"/>
          <w:szCs w:val="32"/>
        </w:rPr>
        <w:t>（六）加快推进数字城管创新。</w:t>
      </w:r>
      <w:r>
        <w:rPr>
          <w:rFonts w:hint="eastAsia" w:ascii="仿宋_GB2312" w:eastAsia="仿宋_GB2312"/>
          <w:sz w:val="32"/>
          <w:szCs w:val="32"/>
        </w:rPr>
        <w:t>加快推进数字化城管系统的改造升级。对指挥系统软件、移动执法部件，以及中心软硬件进行集中升级，达到现有管理要求。加快推进“霸州生活”APP的运行推广。采取多种形式，开展“霸州生活”APP的广泛推广工作，引导群众关注使用“霸州生活”APP客户端，推动APP客户端的高效实质运行，为市民生活提供更多的便捷。</w:t>
      </w:r>
    </w:p>
    <w:p>
      <w:pPr>
        <w:rPr>
          <w:rFonts w:ascii="楷体_GB2312" w:eastAsia="楷体_GB2312" w:cs="Times New Roman" w:hAnsiTheme="majorEastAsia"/>
          <w:b/>
          <w:sz w:val="32"/>
          <w:szCs w:val="32"/>
        </w:rPr>
      </w:pPr>
    </w:p>
    <w:p>
      <w:pPr>
        <w:ind w:firstLine="643" w:firstLineChars="200"/>
        <w:rPr>
          <w:rFonts w:ascii="方正仿宋_GBK" w:eastAsia="方正仿宋_GBK" w:hAnsiTheme="majorEastAsia"/>
          <w:sz w:val="32"/>
        </w:rPr>
      </w:pPr>
      <w:r>
        <w:rPr>
          <w:rFonts w:hint="eastAsia" w:ascii="楷体_GB2312" w:eastAsia="楷体_GB2312" w:cs="Times New Roman" w:hAnsiTheme="majorEastAsia"/>
          <w:b/>
          <w:sz w:val="32"/>
          <w:szCs w:val="32"/>
        </w:rPr>
        <w:t>部门职责及工作活动绩效目标指标：</w:t>
      </w:r>
      <w:bookmarkEnd w:id="0"/>
      <w:bookmarkStart w:id="1" w:name="_Toc476770359"/>
    </w:p>
    <w:p>
      <w:pPr>
        <w:jc w:val="center"/>
        <w:outlineLvl w:val="0"/>
        <w:rPr>
          <w:rFonts w:ascii="方正仿宋_GBK" w:eastAsia="方正仿宋_GBK" w:hAnsiTheme="majorEastAsia"/>
          <w:sz w:val="32"/>
        </w:rPr>
      </w:pPr>
      <w:r>
        <w:rPr>
          <w:rFonts w:hint="eastAsia" w:ascii="方正仿宋_GBK" w:eastAsia="方正仿宋_GBK" w:hAnsiTheme="majorEastAsia"/>
          <w:sz w:val="32"/>
        </w:rPr>
        <w:t>部门职责-工作活动绩效目标</w:t>
      </w:r>
      <w:bookmarkEnd w:id="1"/>
    </w:p>
    <w:tbl>
      <w:tblPr>
        <w:tblStyle w:val="7"/>
        <w:tblW w:w="1412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3"/>
        <w:gridCol w:w="1292"/>
        <w:gridCol w:w="3015"/>
        <w:gridCol w:w="3015"/>
        <w:gridCol w:w="1437"/>
        <w:gridCol w:w="746"/>
        <w:gridCol w:w="746"/>
        <w:gridCol w:w="746"/>
        <w:gridCol w:w="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tblHeader/>
          <w:jc w:val="center"/>
        </w:trPr>
        <w:tc>
          <w:tcPr>
            <w:tcW w:w="11132"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仿宋_GBK" w:eastAsia="方正仿宋_GBK" w:hAnsiTheme="majorEastAsia"/>
                <w:sz w:val="24"/>
              </w:rPr>
            </w:pPr>
            <w:r>
              <w:rPr>
                <w:rFonts w:hint="eastAsia" w:ascii="方正仿宋_GBK" w:eastAsia="方正仿宋_GBK" w:hAnsiTheme="majorEastAsia"/>
                <w:sz w:val="24"/>
              </w:rPr>
              <w:t>814霸州市城市管理行政执法局</w:t>
            </w:r>
          </w:p>
        </w:tc>
        <w:tc>
          <w:tcPr>
            <w:tcW w:w="2989"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仿宋_GBK" w:eastAsia="方正仿宋_GBK" w:hAnsiTheme="majorEastAsia"/>
                <w:sz w:val="24"/>
              </w:rPr>
            </w:pPr>
            <w:r>
              <w:rPr>
                <w:rFonts w:hint="eastAsia" w:ascii="方正仿宋_GBK" w:eastAsia="方正仿宋_GBK" w:hAnsiTheme="majorEastAsia"/>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tblHeader/>
          <w:jc w:val="center"/>
        </w:trPr>
        <w:tc>
          <w:tcPr>
            <w:tcW w:w="2373"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职责活动</w:t>
            </w:r>
          </w:p>
        </w:tc>
        <w:tc>
          <w:tcPr>
            <w:tcW w:w="1292"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年度预算数</w:t>
            </w:r>
          </w:p>
        </w:tc>
        <w:tc>
          <w:tcPr>
            <w:tcW w:w="3015"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内容描述</w:t>
            </w:r>
          </w:p>
        </w:tc>
        <w:tc>
          <w:tcPr>
            <w:tcW w:w="3015"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绩效目标</w:t>
            </w:r>
          </w:p>
        </w:tc>
        <w:tc>
          <w:tcPr>
            <w:tcW w:w="1437"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绩效指标</w:t>
            </w:r>
          </w:p>
        </w:tc>
        <w:tc>
          <w:tcPr>
            <w:tcW w:w="2989" w:type="dxa"/>
            <w:gridSpan w:val="4"/>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tblHeader/>
          <w:jc w:val="center"/>
        </w:trPr>
        <w:tc>
          <w:tcPr>
            <w:tcW w:w="2373"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1292"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3015"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3015"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1437"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优</w:t>
            </w:r>
          </w:p>
        </w:tc>
        <w:tc>
          <w:tcPr>
            <w:tcW w:w="746"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良</w:t>
            </w:r>
          </w:p>
        </w:tc>
        <w:tc>
          <w:tcPr>
            <w:tcW w:w="746"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中</w:t>
            </w:r>
          </w:p>
        </w:tc>
        <w:tc>
          <w:tcPr>
            <w:tcW w:w="751"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市容环境卫生方面执法管理</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421.70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贯彻实施国家及本市有关城市管理方面的法律、法规及规章，治理和维护城市管理秩序。依法行使市容环卫、城乡规划、城市绿化、工商行政、市政设施、环境保护、交通运输等方面的全部或部分行政处罚权。</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依法依规拟定全市城市管理规整制度并付诸实施；维护良好市容秩序，维护城市良好形象；提高市民城市意识和文明素质。</w:t>
            </w:r>
          </w:p>
        </w:tc>
        <w:tc>
          <w:tcPr>
            <w:tcW w:w="1437" w:type="dxa"/>
            <w:shd w:val="clear" w:color="auto" w:fill="auto"/>
            <w:vAlign w:val="center"/>
          </w:tcPr>
          <w:p>
            <w:pPr>
              <w:spacing w:line="300" w:lineRule="exact"/>
              <w:jc w:val="left"/>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51" w:type="dxa"/>
            <w:shd w:val="clear" w:color="auto" w:fill="auto"/>
            <w:vAlign w:val="center"/>
          </w:tcPr>
          <w:p>
            <w:pPr>
              <w:spacing w:line="300" w:lineRule="exact"/>
              <w:jc w:val="center"/>
              <w:rPr>
                <w:rFonts w:ascii="方正仿宋_GBK" w:eastAsia="方正仿宋_GBK" w:hAnsi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流动摊点、临时市场日常监督</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164.80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科学制定道路管理等级标准，采取疏堵结合原则，严格对流动摊点和临时市场监管，严禁出现非法聚集占道，堵塞交通现象发生。</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加大治理和宣传力度，做到早发现、早治理，做到既方便群众生活，又不扰民和影响交通。禁止出现占道摊群、占道早市和夜市现象。</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专项检查次数和违法处理情况</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35</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30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25</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综合事务管理</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232.90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综合执法工作运转保障，包括会议组织、政务督办、档案管理、信访接待、政务信息、行政复议、对外宣传、干部培训、调研活动等行政事务；开展政府信息公开、行政许可事项受理、信息化建设、机关财务和资产管理、基建及维修等管理</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保障机关工作正常工作高效运转</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综合事务保障率</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90%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80%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70%</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数字城管日常运行及维护</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24.00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搭建全局性的信息共享平台，实现实时定位、指挥、督查及信息反馈。</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确保数字城管中心正常运行，有效提高工作效率</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案件结案率、处置率</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90%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80%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70%</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城乡建设管理</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71.00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指导城市市政公用设施建设、安全和应急管理；拟定风景名胜区的发展规划、政策并指导实施；拟定村庄和小城镇建设政策并指导实施；指导镇、乡村庄规划的编制和实施；指导农村住房建设、住房安全和危房改造；改善小城镇和村庄人居环境；指导做好国家级重点镇及市级重点镇的建设。</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加强管理，提高城市承载能力和宜居度。加强村镇建设，改善农村人居环境，实现城乡统筹发展。协调和指导推进城镇化工作，加快城镇化进程。指导城市建设投融资体制改革，破解融资难题。</w:t>
            </w:r>
          </w:p>
        </w:tc>
        <w:tc>
          <w:tcPr>
            <w:tcW w:w="1437" w:type="dxa"/>
            <w:shd w:val="clear" w:color="auto" w:fill="auto"/>
            <w:vAlign w:val="center"/>
          </w:tcPr>
          <w:p>
            <w:pPr>
              <w:spacing w:line="300" w:lineRule="exact"/>
              <w:jc w:val="left"/>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51" w:type="dxa"/>
            <w:shd w:val="clear" w:color="auto" w:fill="auto"/>
            <w:vAlign w:val="center"/>
          </w:tcPr>
          <w:p>
            <w:pPr>
              <w:spacing w:line="300" w:lineRule="exact"/>
              <w:jc w:val="center"/>
              <w:rPr>
                <w:rFonts w:ascii="方正仿宋_GBK" w:eastAsia="方正仿宋_GBK" w:hAnsi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城市容貌环境综合整治</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71.00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指导城市市容环境治理、城建监察、数字化城市管理系统平台建设及运行等各项工作，加强餐厨废弃物管理，改善人居环境，大气污染治理。</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加快数字化城管平台建设，实现城市管理信息化</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数字化城管平台建设率</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90%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80%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70%</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≤60%</w:t>
            </w:r>
          </w:p>
        </w:tc>
      </w:tr>
    </w:tbl>
    <w:p>
      <w:pPr>
        <w:autoSpaceDE w:val="0"/>
        <w:autoSpaceDN w:val="0"/>
        <w:adjustRightInd w:val="0"/>
        <w:ind w:left="200"/>
        <w:jc w:val="left"/>
        <w:rPr>
          <w:rFonts w:ascii="方正仿宋_GBK" w:eastAsia="方正仿宋_GBK" w:cs="宋体" w:hAnsiTheme="majorEastAsia"/>
          <w:kern w:val="0"/>
          <w:sz w:val="18"/>
          <w:szCs w:val="18"/>
          <w:lang w:val="zh-CN"/>
        </w:rPr>
      </w:pP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六、政府采购预算情况</w:t>
      </w:r>
      <w:bookmarkStart w:id="2" w:name="_Toc471398468"/>
    </w:p>
    <w:p>
      <w:pPr>
        <w:autoSpaceDE w:val="0"/>
        <w:autoSpaceDN w:val="0"/>
        <w:adjustRightInd w:val="0"/>
        <w:ind w:firstLine="640" w:firstLineChars="200"/>
        <w:jc w:val="left"/>
        <w:rPr>
          <w:rFonts w:ascii="仿宋" w:hAnsi="仿宋" w:eastAsia="仿宋" w:cs="仿宋"/>
          <w:sz w:val="32"/>
          <w:szCs w:val="24"/>
        </w:rPr>
      </w:pPr>
      <w:r>
        <w:rPr>
          <w:rFonts w:hint="eastAsia" w:ascii="仿宋" w:hAnsi="仿宋" w:eastAsia="仿宋" w:cs="仿宋"/>
          <w:sz w:val="32"/>
          <w:szCs w:val="24"/>
        </w:rPr>
        <w:t>2018年，我部门安排政府采购预算278.90万元。</w:t>
      </w:r>
      <w:bookmarkEnd w:id="2"/>
      <w:r>
        <w:rPr>
          <w:rFonts w:hint="eastAsia" w:ascii="仿宋" w:hAnsi="仿宋" w:eastAsia="仿宋" w:cs="仿宋"/>
          <w:sz w:val="32"/>
          <w:szCs w:val="24"/>
        </w:rPr>
        <w:t>具体内容见下表。</w:t>
      </w:r>
    </w:p>
    <w:p>
      <w:pPr>
        <w:jc w:val="center"/>
        <w:outlineLvl w:val="0"/>
        <w:rPr>
          <w:rFonts w:ascii="方正仿宋_GBK" w:eastAsia="方正仿宋_GBK" w:hAnsiTheme="majorEastAsia"/>
          <w:sz w:val="32"/>
        </w:rPr>
      </w:pPr>
      <w:r>
        <w:rPr>
          <w:rFonts w:hint="eastAsia" w:ascii="方正仿宋_GBK" w:eastAsia="方正仿宋_GBK" w:hAnsiTheme="majorEastAsia"/>
          <w:sz w:val="32"/>
        </w:rPr>
        <w:t>部门政府采购预算</w:t>
      </w:r>
    </w:p>
    <w:tbl>
      <w:tblPr>
        <w:tblStyle w:val="7"/>
        <w:tblW w:w="141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0"/>
        <w:gridCol w:w="931"/>
        <w:gridCol w:w="1062"/>
        <w:gridCol w:w="1212"/>
        <w:gridCol w:w="880"/>
        <w:gridCol w:w="880"/>
        <w:gridCol w:w="906"/>
        <w:gridCol w:w="917"/>
        <w:gridCol w:w="917"/>
        <w:gridCol w:w="917"/>
        <w:gridCol w:w="820"/>
        <w:gridCol w:w="883"/>
        <w:gridCol w:w="886"/>
        <w:gridCol w:w="4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0" w:hRule="atLeast"/>
          <w:tblHeader/>
          <w:jc w:val="center"/>
        </w:trPr>
        <w:tc>
          <w:tcPr>
            <w:tcW w:w="839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仿宋_GBK" w:eastAsia="方正仿宋_GBK" w:hAnsiTheme="majorEastAsia"/>
                <w:sz w:val="24"/>
              </w:rPr>
            </w:pPr>
            <w:r>
              <w:rPr>
                <w:rFonts w:hint="eastAsia" w:ascii="方正仿宋_GBK" w:eastAsia="方正仿宋_GBK" w:hAnsiTheme="majorEastAsia"/>
                <w:sz w:val="24"/>
              </w:rPr>
              <w:t>814霸州市城市管理行政执法局</w:t>
            </w:r>
          </w:p>
        </w:tc>
        <w:tc>
          <w:tcPr>
            <w:tcW w:w="58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仿宋_GBK" w:eastAsia="方正仿宋_GBK" w:hAnsiTheme="majorEastAsia"/>
                <w:sz w:val="24"/>
              </w:rPr>
            </w:pPr>
            <w:r>
              <w:rPr>
                <w:rFonts w:hint="eastAsia" w:ascii="方正仿宋_GBK" w:eastAsia="方正仿宋_GBK" w:hAnsiTheme="majorEastAsia"/>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0" w:hRule="atLeast"/>
          <w:tblHeader/>
          <w:jc w:val="center"/>
        </w:trPr>
        <w:tc>
          <w:tcPr>
            <w:tcW w:w="3451" w:type="dxa"/>
            <w:gridSpan w:val="2"/>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政府采购项目来源</w:t>
            </w:r>
          </w:p>
        </w:tc>
        <w:tc>
          <w:tcPr>
            <w:tcW w:w="1062"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采购物品名称</w:t>
            </w:r>
          </w:p>
        </w:tc>
        <w:tc>
          <w:tcPr>
            <w:tcW w:w="1212"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政府采购目录序号</w:t>
            </w:r>
          </w:p>
        </w:tc>
        <w:tc>
          <w:tcPr>
            <w:tcW w:w="880"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数量  单位</w:t>
            </w:r>
          </w:p>
        </w:tc>
        <w:tc>
          <w:tcPr>
            <w:tcW w:w="880"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数量</w:t>
            </w:r>
          </w:p>
        </w:tc>
        <w:tc>
          <w:tcPr>
            <w:tcW w:w="906"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单价</w:t>
            </w:r>
          </w:p>
        </w:tc>
        <w:tc>
          <w:tcPr>
            <w:tcW w:w="5803" w:type="dxa"/>
            <w:gridSpan w:val="7"/>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0" w:hRule="atLeast"/>
          <w:tblHeader/>
          <w:jc w:val="center"/>
        </w:trPr>
        <w:tc>
          <w:tcPr>
            <w:tcW w:w="2520"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项目名称</w:t>
            </w:r>
          </w:p>
        </w:tc>
        <w:tc>
          <w:tcPr>
            <w:tcW w:w="931"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预算资金</w:t>
            </w:r>
          </w:p>
        </w:tc>
        <w:tc>
          <w:tcPr>
            <w:tcW w:w="1062"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212"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8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8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06"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17"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总计</w:t>
            </w:r>
          </w:p>
        </w:tc>
        <w:tc>
          <w:tcPr>
            <w:tcW w:w="4423" w:type="dxa"/>
            <w:gridSpan w:val="5"/>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当年部门预算安排资金</w:t>
            </w:r>
          </w:p>
        </w:tc>
        <w:tc>
          <w:tcPr>
            <w:tcW w:w="463"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2" w:hRule="atLeast"/>
          <w:tblHeader/>
          <w:jc w:val="center"/>
        </w:trPr>
        <w:tc>
          <w:tcPr>
            <w:tcW w:w="252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31"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062"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212"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8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8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06"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17"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17"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合计</w:t>
            </w:r>
          </w:p>
        </w:tc>
        <w:tc>
          <w:tcPr>
            <w:tcW w:w="917"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一般公共预算拨款</w:t>
            </w:r>
          </w:p>
        </w:tc>
        <w:tc>
          <w:tcPr>
            <w:tcW w:w="820"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基金预算拨款</w:t>
            </w:r>
          </w:p>
        </w:tc>
        <w:tc>
          <w:tcPr>
            <w:tcW w:w="883"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财政专户核拨</w:t>
            </w:r>
          </w:p>
        </w:tc>
        <w:tc>
          <w:tcPr>
            <w:tcW w:w="886"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其他来源收入</w:t>
            </w:r>
          </w:p>
        </w:tc>
        <w:tc>
          <w:tcPr>
            <w:tcW w:w="463" w:type="dxa"/>
            <w:vMerge w:val="continue"/>
            <w:shd w:val="clear" w:color="auto" w:fill="auto"/>
            <w:vAlign w:val="center"/>
          </w:tcPr>
          <w:p>
            <w:pPr>
              <w:spacing w:line="300" w:lineRule="exact"/>
              <w:jc w:val="left"/>
              <w:outlineLvl w:val="0"/>
              <w:rPr>
                <w:rFonts w:cs="Times New Roman" w:asciiTheme="minorEastAsia" w:hAnsi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合　计</w:t>
            </w:r>
          </w:p>
        </w:tc>
        <w:tc>
          <w:tcPr>
            <w:tcW w:w="931" w:type="dxa"/>
            <w:shd w:val="clear" w:color="auto" w:fill="auto"/>
            <w:vAlign w:val="center"/>
          </w:tcPr>
          <w:p>
            <w:pPr>
              <w:spacing w:line="300" w:lineRule="exact"/>
              <w:jc w:val="right"/>
              <w:rPr>
                <w:rFonts w:cs="Times New Roman" w:asciiTheme="minorEastAsia" w:hAnsiTheme="minorEastAsia"/>
                <w:sz w:val="28"/>
                <w:szCs w:val="28"/>
              </w:rPr>
            </w:pPr>
            <w:r>
              <w:rPr>
                <w:rFonts w:hint="eastAsia" w:cs="Times New Roman" w:asciiTheme="minorEastAsia" w:hAnsiTheme="minorEastAsia"/>
                <w:sz w:val="28"/>
                <w:szCs w:val="28"/>
              </w:rPr>
              <w:t>278.9</w:t>
            </w:r>
          </w:p>
        </w:tc>
        <w:tc>
          <w:tcPr>
            <w:tcW w:w="1062" w:type="dxa"/>
            <w:shd w:val="clear" w:color="auto" w:fill="auto"/>
            <w:vAlign w:val="center"/>
          </w:tcPr>
          <w:p>
            <w:pPr>
              <w:spacing w:line="300" w:lineRule="exact"/>
              <w:jc w:val="left"/>
              <w:rPr>
                <w:rFonts w:cs="Times New Roman" w:asciiTheme="minorEastAsia" w:hAnsiTheme="minorEastAsia"/>
                <w:b/>
                <w:szCs w:val="24"/>
              </w:rPr>
            </w:pPr>
          </w:p>
        </w:tc>
        <w:tc>
          <w:tcPr>
            <w:tcW w:w="1212" w:type="dxa"/>
            <w:shd w:val="clear" w:color="auto" w:fill="auto"/>
            <w:vAlign w:val="center"/>
          </w:tcPr>
          <w:p>
            <w:pPr>
              <w:spacing w:line="300" w:lineRule="exact"/>
              <w:jc w:val="left"/>
              <w:rPr>
                <w:rFonts w:cs="Times New Roman" w:asciiTheme="minorEastAsia" w:hAnsiTheme="minorEastAsia"/>
                <w:b/>
                <w:szCs w:val="24"/>
              </w:rPr>
            </w:pPr>
          </w:p>
        </w:tc>
        <w:tc>
          <w:tcPr>
            <w:tcW w:w="880" w:type="dxa"/>
            <w:shd w:val="clear" w:color="auto" w:fill="auto"/>
            <w:vAlign w:val="center"/>
          </w:tcPr>
          <w:p>
            <w:pPr>
              <w:spacing w:line="300" w:lineRule="exact"/>
              <w:jc w:val="left"/>
              <w:rPr>
                <w:rFonts w:cs="Times New Roman" w:asciiTheme="minorEastAsia" w:hAnsiTheme="minorEastAsia"/>
                <w:b/>
                <w:szCs w:val="24"/>
              </w:rPr>
            </w:pPr>
          </w:p>
        </w:tc>
        <w:tc>
          <w:tcPr>
            <w:tcW w:w="880" w:type="dxa"/>
            <w:shd w:val="clear" w:color="auto" w:fill="auto"/>
            <w:vAlign w:val="center"/>
          </w:tcPr>
          <w:p>
            <w:pPr>
              <w:spacing w:line="300" w:lineRule="exact"/>
              <w:jc w:val="right"/>
              <w:rPr>
                <w:rFonts w:cs="Times New Roman" w:asciiTheme="minorEastAsia" w:hAnsiTheme="minorEastAsia"/>
                <w:b/>
                <w:szCs w:val="24"/>
              </w:rPr>
            </w:pPr>
          </w:p>
        </w:tc>
        <w:tc>
          <w:tcPr>
            <w:tcW w:w="906" w:type="dxa"/>
            <w:shd w:val="clear" w:color="auto" w:fill="auto"/>
            <w:vAlign w:val="center"/>
          </w:tcPr>
          <w:p>
            <w:pPr>
              <w:spacing w:line="300" w:lineRule="exact"/>
              <w:jc w:val="right"/>
              <w:rPr>
                <w:rFonts w:cs="Times New Roman" w:asciiTheme="minorEastAsia" w:hAnsiTheme="minorEastAsia"/>
                <w:b/>
                <w:szCs w:val="24"/>
              </w:rPr>
            </w:pPr>
          </w:p>
        </w:tc>
        <w:tc>
          <w:tcPr>
            <w:tcW w:w="917" w:type="dxa"/>
            <w:shd w:val="clear" w:color="auto" w:fill="auto"/>
            <w:vAlign w:val="center"/>
          </w:tcPr>
          <w:p>
            <w:pPr>
              <w:jc w:val="right"/>
            </w:pPr>
            <w:r>
              <w:rPr>
                <w:rFonts w:hint="eastAsia" w:cs="Times New Roman" w:asciiTheme="minorEastAsia" w:hAnsiTheme="minorEastAsia"/>
                <w:sz w:val="28"/>
                <w:szCs w:val="28"/>
              </w:rPr>
              <w:t>278.9</w:t>
            </w:r>
          </w:p>
        </w:tc>
        <w:tc>
          <w:tcPr>
            <w:tcW w:w="917" w:type="dxa"/>
            <w:shd w:val="clear" w:color="auto" w:fill="auto"/>
            <w:vAlign w:val="center"/>
          </w:tcPr>
          <w:p>
            <w:pPr>
              <w:jc w:val="right"/>
            </w:pPr>
            <w:r>
              <w:rPr>
                <w:rFonts w:hint="eastAsia" w:cs="Times New Roman" w:asciiTheme="minorEastAsia" w:hAnsiTheme="minorEastAsia"/>
                <w:sz w:val="28"/>
                <w:szCs w:val="28"/>
              </w:rPr>
              <w:t>278.9</w:t>
            </w:r>
          </w:p>
        </w:tc>
        <w:tc>
          <w:tcPr>
            <w:tcW w:w="917" w:type="dxa"/>
            <w:shd w:val="clear" w:color="auto" w:fill="auto"/>
            <w:vAlign w:val="center"/>
          </w:tcPr>
          <w:p>
            <w:pPr>
              <w:jc w:val="right"/>
            </w:pPr>
            <w:r>
              <w:rPr>
                <w:rFonts w:hint="eastAsia" w:cs="Times New Roman" w:asciiTheme="minorEastAsia" w:hAnsiTheme="minorEastAsia"/>
                <w:sz w:val="28"/>
                <w:szCs w:val="28"/>
              </w:rPr>
              <w:t>278.9</w:t>
            </w:r>
          </w:p>
        </w:tc>
        <w:tc>
          <w:tcPr>
            <w:tcW w:w="820" w:type="dxa"/>
            <w:shd w:val="clear" w:color="auto" w:fill="auto"/>
            <w:vAlign w:val="center"/>
          </w:tcPr>
          <w:p>
            <w:pPr>
              <w:spacing w:line="300" w:lineRule="exact"/>
              <w:jc w:val="right"/>
              <w:rPr>
                <w:rFonts w:cs="Times New Roman" w:asciiTheme="minorEastAsia" w:hAnsiTheme="minorEastAsia"/>
                <w:b/>
                <w:szCs w:val="24"/>
              </w:rPr>
            </w:pPr>
          </w:p>
        </w:tc>
        <w:tc>
          <w:tcPr>
            <w:tcW w:w="883" w:type="dxa"/>
            <w:shd w:val="clear" w:color="auto" w:fill="auto"/>
            <w:vAlign w:val="center"/>
          </w:tcPr>
          <w:p>
            <w:pPr>
              <w:spacing w:line="300" w:lineRule="exact"/>
              <w:jc w:val="right"/>
              <w:rPr>
                <w:rFonts w:cs="Times New Roman" w:asciiTheme="minorEastAsia" w:hAnsiTheme="minorEastAsia"/>
                <w:b/>
                <w:szCs w:val="24"/>
              </w:rPr>
            </w:pPr>
          </w:p>
        </w:tc>
        <w:tc>
          <w:tcPr>
            <w:tcW w:w="886" w:type="dxa"/>
            <w:shd w:val="clear" w:color="auto" w:fill="auto"/>
            <w:vAlign w:val="center"/>
          </w:tcPr>
          <w:p>
            <w:pPr>
              <w:spacing w:line="300" w:lineRule="exact"/>
              <w:jc w:val="right"/>
              <w:rPr>
                <w:rFonts w:cs="Times New Roman" w:asciiTheme="minorEastAsia" w:hAnsiTheme="minorEastAsia"/>
                <w:b/>
                <w:szCs w:val="24"/>
              </w:rPr>
            </w:pPr>
          </w:p>
        </w:tc>
        <w:tc>
          <w:tcPr>
            <w:tcW w:w="463" w:type="dxa"/>
            <w:shd w:val="clear" w:color="auto" w:fill="auto"/>
            <w:vAlign w:val="center"/>
          </w:tcPr>
          <w:p>
            <w:pPr>
              <w:spacing w:line="300" w:lineRule="exact"/>
              <w:jc w:val="right"/>
              <w:rPr>
                <w:rFonts w:cs="Times New Roman" w:asciiTheme="minorEastAsia" w:hAnsiTheme="minorEastAsia"/>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电动执法车辆购置项目</w:t>
            </w:r>
          </w:p>
        </w:tc>
        <w:tc>
          <w:tcPr>
            <w:tcW w:w="931"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144</w:t>
            </w:r>
          </w:p>
        </w:tc>
        <w:tc>
          <w:tcPr>
            <w:tcW w:w="1062"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新能源汽车</w:t>
            </w:r>
          </w:p>
        </w:tc>
        <w:tc>
          <w:tcPr>
            <w:tcW w:w="1212" w:type="dxa"/>
            <w:shd w:val="clear" w:color="auto" w:fill="auto"/>
            <w:vAlign w:val="center"/>
          </w:tcPr>
          <w:p>
            <w:pPr>
              <w:spacing w:line="300" w:lineRule="exact"/>
              <w:jc w:val="left"/>
              <w:rPr>
                <w:rFonts w:ascii="仿宋" w:hAnsi="仿宋" w:eastAsia="仿宋" w:cs="Times New Roman"/>
                <w:sz w:val="28"/>
                <w:szCs w:val="28"/>
              </w:rPr>
            </w:pPr>
          </w:p>
        </w:tc>
        <w:tc>
          <w:tcPr>
            <w:tcW w:w="88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辆</w:t>
            </w:r>
          </w:p>
        </w:tc>
        <w:tc>
          <w:tcPr>
            <w:tcW w:w="88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18</w:t>
            </w:r>
          </w:p>
        </w:tc>
        <w:tc>
          <w:tcPr>
            <w:tcW w:w="906"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8</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144</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144</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144</w:t>
            </w:r>
          </w:p>
        </w:tc>
        <w:tc>
          <w:tcPr>
            <w:tcW w:w="820" w:type="dxa"/>
            <w:shd w:val="clear" w:color="auto" w:fill="auto"/>
            <w:vAlign w:val="center"/>
          </w:tcPr>
          <w:p>
            <w:pPr>
              <w:spacing w:line="300" w:lineRule="exact"/>
              <w:jc w:val="right"/>
              <w:rPr>
                <w:rFonts w:ascii="仿宋" w:hAnsi="仿宋" w:eastAsia="仿宋" w:cs="Times New Roman"/>
                <w:sz w:val="28"/>
                <w:szCs w:val="28"/>
              </w:rPr>
            </w:pPr>
          </w:p>
        </w:tc>
        <w:tc>
          <w:tcPr>
            <w:tcW w:w="883" w:type="dxa"/>
            <w:shd w:val="clear" w:color="auto" w:fill="auto"/>
            <w:vAlign w:val="center"/>
          </w:tcPr>
          <w:p>
            <w:pPr>
              <w:spacing w:line="300" w:lineRule="exact"/>
              <w:jc w:val="right"/>
              <w:rPr>
                <w:rFonts w:ascii="仿宋" w:hAnsi="仿宋" w:eastAsia="仿宋" w:cs="Times New Roman"/>
                <w:sz w:val="28"/>
                <w:szCs w:val="28"/>
              </w:rPr>
            </w:pPr>
          </w:p>
        </w:tc>
        <w:tc>
          <w:tcPr>
            <w:tcW w:w="886" w:type="dxa"/>
            <w:shd w:val="clear" w:color="auto" w:fill="auto"/>
            <w:vAlign w:val="center"/>
          </w:tcPr>
          <w:p>
            <w:pPr>
              <w:spacing w:line="300" w:lineRule="exact"/>
              <w:jc w:val="right"/>
              <w:rPr>
                <w:rFonts w:ascii="仿宋" w:hAnsi="仿宋" w:eastAsia="仿宋" w:cs="Times New Roman"/>
                <w:sz w:val="28"/>
                <w:szCs w:val="28"/>
              </w:rPr>
            </w:pPr>
          </w:p>
        </w:tc>
        <w:tc>
          <w:tcPr>
            <w:tcW w:w="463" w:type="dxa"/>
            <w:shd w:val="clear" w:color="auto" w:fill="auto"/>
            <w:vAlign w:val="center"/>
          </w:tcPr>
          <w:p>
            <w:pPr>
              <w:spacing w:line="300" w:lineRule="exact"/>
              <w:jc w:val="right"/>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执法服装购置项目</w:t>
            </w:r>
          </w:p>
        </w:tc>
        <w:tc>
          <w:tcPr>
            <w:tcW w:w="931"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120.4</w:t>
            </w:r>
          </w:p>
        </w:tc>
        <w:tc>
          <w:tcPr>
            <w:tcW w:w="1062"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货物</w:t>
            </w:r>
          </w:p>
        </w:tc>
        <w:tc>
          <w:tcPr>
            <w:tcW w:w="1212" w:type="dxa"/>
            <w:shd w:val="clear" w:color="auto" w:fill="auto"/>
            <w:vAlign w:val="center"/>
          </w:tcPr>
          <w:p>
            <w:pPr>
              <w:spacing w:line="300" w:lineRule="exact"/>
              <w:jc w:val="left"/>
              <w:rPr>
                <w:rFonts w:ascii="仿宋" w:hAnsi="仿宋" w:eastAsia="仿宋" w:cs="Times New Roman"/>
                <w:sz w:val="28"/>
                <w:szCs w:val="28"/>
              </w:rPr>
            </w:pPr>
          </w:p>
        </w:tc>
        <w:tc>
          <w:tcPr>
            <w:tcW w:w="880"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套</w:t>
            </w:r>
          </w:p>
        </w:tc>
        <w:tc>
          <w:tcPr>
            <w:tcW w:w="88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344</w:t>
            </w:r>
          </w:p>
        </w:tc>
        <w:tc>
          <w:tcPr>
            <w:tcW w:w="906"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0.35</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120.4</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120.4</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120.4</w:t>
            </w:r>
          </w:p>
        </w:tc>
        <w:tc>
          <w:tcPr>
            <w:tcW w:w="820" w:type="dxa"/>
            <w:shd w:val="clear" w:color="auto" w:fill="auto"/>
            <w:vAlign w:val="center"/>
          </w:tcPr>
          <w:p>
            <w:pPr>
              <w:spacing w:line="300" w:lineRule="exact"/>
              <w:jc w:val="right"/>
              <w:rPr>
                <w:rFonts w:ascii="仿宋" w:hAnsi="仿宋" w:eastAsia="仿宋" w:cs="Times New Roman"/>
                <w:sz w:val="28"/>
                <w:szCs w:val="28"/>
              </w:rPr>
            </w:pPr>
          </w:p>
        </w:tc>
        <w:tc>
          <w:tcPr>
            <w:tcW w:w="883" w:type="dxa"/>
            <w:shd w:val="clear" w:color="auto" w:fill="auto"/>
            <w:vAlign w:val="center"/>
          </w:tcPr>
          <w:p>
            <w:pPr>
              <w:spacing w:line="300" w:lineRule="exact"/>
              <w:jc w:val="right"/>
              <w:rPr>
                <w:rFonts w:ascii="仿宋" w:hAnsi="仿宋" w:eastAsia="仿宋" w:cs="Times New Roman"/>
                <w:sz w:val="28"/>
                <w:szCs w:val="28"/>
              </w:rPr>
            </w:pPr>
          </w:p>
        </w:tc>
        <w:tc>
          <w:tcPr>
            <w:tcW w:w="886" w:type="dxa"/>
            <w:shd w:val="clear" w:color="auto" w:fill="auto"/>
            <w:vAlign w:val="center"/>
          </w:tcPr>
          <w:p>
            <w:pPr>
              <w:spacing w:line="300" w:lineRule="exact"/>
              <w:jc w:val="right"/>
              <w:rPr>
                <w:rFonts w:ascii="仿宋" w:hAnsi="仿宋" w:eastAsia="仿宋" w:cs="Times New Roman"/>
                <w:sz w:val="28"/>
                <w:szCs w:val="28"/>
              </w:rPr>
            </w:pPr>
          </w:p>
        </w:tc>
        <w:tc>
          <w:tcPr>
            <w:tcW w:w="463" w:type="dxa"/>
            <w:shd w:val="clear" w:color="auto" w:fill="auto"/>
            <w:vAlign w:val="center"/>
          </w:tcPr>
          <w:p>
            <w:pPr>
              <w:spacing w:line="300" w:lineRule="exact"/>
              <w:jc w:val="right"/>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采暖锅炉购置项目</w:t>
            </w:r>
          </w:p>
        </w:tc>
        <w:tc>
          <w:tcPr>
            <w:tcW w:w="931"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14.5</w:t>
            </w:r>
          </w:p>
        </w:tc>
        <w:tc>
          <w:tcPr>
            <w:tcW w:w="1062"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货物</w:t>
            </w:r>
          </w:p>
        </w:tc>
        <w:tc>
          <w:tcPr>
            <w:tcW w:w="1212" w:type="dxa"/>
            <w:shd w:val="clear" w:color="auto" w:fill="auto"/>
            <w:vAlign w:val="center"/>
          </w:tcPr>
          <w:p>
            <w:pPr>
              <w:spacing w:line="300" w:lineRule="exact"/>
              <w:jc w:val="left"/>
              <w:rPr>
                <w:rFonts w:ascii="仿宋" w:hAnsi="仿宋" w:eastAsia="仿宋" w:cs="Times New Roman"/>
                <w:sz w:val="28"/>
                <w:szCs w:val="28"/>
              </w:rPr>
            </w:pPr>
          </w:p>
        </w:tc>
        <w:tc>
          <w:tcPr>
            <w:tcW w:w="880" w:type="dxa"/>
            <w:shd w:val="clear" w:color="auto" w:fill="auto"/>
            <w:vAlign w:val="center"/>
          </w:tcPr>
          <w:p>
            <w:pPr>
              <w:spacing w:line="300" w:lineRule="exact"/>
              <w:jc w:val="center"/>
              <w:rPr>
                <w:rFonts w:ascii="仿宋" w:hAnsi="仿宋" w:eastAsia="仿宋" w:cs="Times New Roman"/>
                <w:sz w:val="28"/>
                <w:szCs w:val="28"/>
              </w:rPr>
            </w:pPr>
            <w:r>
              <w:rPr>
                <w:rFonts w:ascii="仿宋" w:hAnsi="仿宋" w:eastAsia="仿宋" w:cs="Times New Roman"/>
                <w:sz w:val="28"/>
                <w:szCs w:val="28"/>
              </w:rPr>
              <w:t>台</w:t>
            </w:r>
          </w:p>
        </w:tc>
        <w:tc>
          <w:tcPr>
            <w:tcW w:w="88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1</w:t>
            </w:r>
          </w:p>
        </w:tc>
        <w:tc>
          <w:tcPr>
            <w:tcW w:w="906"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rPr>
              <w:t>14.5</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14.5</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14.5</w:t>
            </w:r>
          </w:p>
        </w:tc>
        <w:tc>
          <w:tcPr>
            <w:tcW w:w="917"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rPr>
              <w:t>14.5</w:t>
            </w:r>
          </w:p>
        </w:tc>
        <w:tc>
          <w:tcPr>
            <w:tcW w:w="820" w:type="dxa"/>
            <w:shd w:val="clear" w:color="auto" w:fill="auto"/>
            <w:vAlign w:val="center"/>
          </w:tcPr>
          <w:p>
            <w:pPr>
              <w:spacing w:line="300" w:lineRule="exact"/>
              <w:jc w:val="right"/>
              <w:rPr>
                <w:rFonts w:ascii="仿宋" w:hAnsi="仿宋" w:eastAsia="仿宋" w:cs="Times New Roman"/>
                <w:sz w:val="28"/>
                <w:szCs w:val="28"/>
              </w:rPr>
            </w:pPr>
          </w:p>
        </w:tc>
        <w:tc>
          <w:tcPr>
            <w:tcW w:w="883" w:type="dxa"/>
            <w:shd w:val="clear" w:color="auto" w:fill="auto"/>
            <w:vAlign w:val="center"/>
          </w:tcPr>
          <w:p>
            <w:pPr>
              <w:spacing w:line="300" w:lineRule="exact"/>
              <w:jc w:val="right"/>
              <w:rPr>
                <w:rFonts w:ascii="仿宋" w:hAnsi="仿宋" w:eastAsia="仿宋" w:cs="Times New Roman"/>
                <w:sz w:val="28"/>
                <w:szCs w:val="28"/>
              </w:rPr>
            </w:pPr>
          </w:p>
        </w:tc>
        <w:tc>
          <w:tcPr>
            <w:tcW w:w="886" w:type="dxa"/>
            <w:shd w:val="clear" w:color="auto" w:fill="auto"/>
            <w:vAlign w:val="center"/>
          </w:tcPr>
          <w:p>
            <w:pPr>
              <w:spacing w:line="300" w:lineRule="exact"/>
              <w:jc w:val="right"/>
              <w:rPr>
                <w:rFonts w:ascii="仿宋" w:hAnsi="仿宋" w:eastAsia="仿宋" w:cs="Times New Roman"/>
                <w:sz w:val="28"/>
                <w:szCs w:val="28"/>
              </w:rPr>
            </w:pPr>
          </w:p>
        </w:tc>
        <w:tc>
          <w:tcPr>
            <w:tcW w:w="463" w:type="dxa"/>
            <w:shd w:val="clear" w:color="auto" w:fill="auto"/>
            <w:vAlign w:val="center"/>
          </w:tcPr>
          <w:p>
            <w:pPr>
              <w:spacing w:line="300" w:lineRule="exact"/>
              <w:jc w:val="right"/>
              <w:rPr>
                <w:rFonts w:ascii="仿宋" w:hAnsi="仿宋" w:eastAsia="仿宋" w:cs="Times New Roman"/>
                <w:sz w:val="28"/>
                <w:szCs w:val="28"/>
              </w:rPr>
            </w:pPr>
          </w:p>
        </w:tc>
      </w:tr>
    </w:tbl>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eastAsia="黑体" w:cs="Times New Roman" w:hAnsiTheme="majorEastAsia"/>
          <w:bCs/>
          <w:sz w:val="32"/>
          <w:szCs w:val="32"/>
        </w:rPr>
      </w:pPr>
      <w:bookmarkStart w:id="3" w:name="_GoBack"/>
      <w:r>
        <w:rPr>
          <w:rFonts w:hint="eastAsia" w:ascii="黑体" w:eastAsia="黑体" w:cs="Times New Roman" w:hAnsiTheme="majorEastAsia"/>
          <w:bCs/>
          <w:sz w:val="32"/>
          <w:szCs w:val="32"/>
        </w:rPr>
        <w:t>七、国有资产信息</w:t>
      </w:r>
    </w:p>
    <w:bookmarkEnd w:id="3"/>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霸州市城市管理行政执法局（含所属单位）上年末固定资产金额为866.24万元。 本年度我部门拟购置固定资产</w:t>
      </w:r>
      <w:r>
        <w:rPr>
          <w:rFonts w:hint="eastAsia" w:ascii="仿宋" w:hAnsi="仿宋" w:eastAsia="仿宋" w:cs="仿宋"/>
          <w:sz w:val="32"/>
          <w:szCs w:val="32"/>
          <w:lang w:val="en-US" w:eastAsia="zh-CN"/>
        </w:rPr>
        <w:t>158.50万元，</w:t>
      </w:r>
      <w:r>
        <w:rPr>
          <w:rFonts w:hint="eastAsia" w:ascii="仿宋" w:hAnsi="仿宋" w:eastAsia="仿宋" w:cs="仿宋"/>
          <w:sz w:val="32"/>
          <w:szCs w:val="32"/>
        </w:rPr>
        <w:t>主要为电动执法车</w:t>
      </w:r>
      <w:r>
        <w:rPr>
          <w:rFonts w:hint="eastAsia" w:ascii="仿宋" w:hAnsi="仿宋" w:eastAsia="仿宋" w:cs="仿宋"/>
          <w:sz w:val="32"/>
          <w:szCs w:val="32"/>
          <w:lang w:val="en-US" w:eastAsia="zh-CN"/>
        </w:rPr>
        <w:t>和</w:t>
      </w:r>
      <w:r>
        <w:rPr>
          <w:rFonts w:hint="eastAsia" w:ascii="仿宋" w:hAnsi="仿宋" w:eastAsia="仿宋" w:cs="仿宋"/>
          <w:sz w:val="32"/>
          <w:szCs w:val="32"/>
        </w:rPr>
        <w:t>采暖锅炉</w:t>
      </w:r>
      <w:r>
        <w:rPr>
          <w:rFonts w:hint="eastAsia" w:ascii="仿宋" w:hAnsi="仿宋" w:eastAsia="仿宋" w:cs="仿宋"/>
          <w:sz w:val="32"/>
          <w:szCs w:val="32"/>
          <w:lang w:val="en-US" w:eastAsia="zh-CN"/>
        </w:rPr>
        <w:t>等</w:t>
      </w:r>
      <w:r>
        <w:rPr>
          <w:rFonts w:hint="eastAsia" w:ascii="仿宋" w:hAnsi="仿宋" w:eastAsia="仿宋" w:cs="仿宋"/>
          <w:sz w:val="32"/>
          <w:szCs w:val="32"/>
        </w:rPr>
        <w:t>，已列入政府采购预算，详见政府采购预算表。</w:t>
      </w:r>
    </w:p>
    <w:tbl>
      <w:tblPr>
        <w:tblStyle w:val="7"/>
        <w:tblW w:w="13495" w:type="dxa"/>
        <w:tblInd w:w="93" w:type="dxa"/>
        <w:tblLayout w:type="fixed"/>
        <w:tblCellMar>
          <w:top w:w="0" w:type="dxa"/>
          <w:left w:w="108" w:type="dxa"/>
          <w:bottom w:w="0" w:type="dxa"/>
          <w:right w:w="108" w:type="dxa"/>
        </w:tblCellMar>
      </w:tblPr>
      <w:tblGrid>
        <w:gridCol w:w="5229"/>
        <w:gridCol w:w="3158"/>
        <w:gridCol w:w="5108"/>
      </w:tblGrid>
      <w:tr>
        <w:tblPrEx>
          <w:tblLayout w:type="fixed"/>
          <w:tblCellMar>
            <w:top w:w="0" w:type="dxa"/>
            <w:left w:w="108" w:type="dxa"/>
            <w:bottom w:w="0" w:type="dxa"/>
            <w:right w:w="108" w:type="dxa"/>
          </w:tblCellMar>
        </w:tblPrEx>
        <w:trPr>
          <w:trHeight w:val="57" w:hRule="atLeast"/>
        </w:trPr>
        <w:tc>
          <w:tcPr>
            <w:tcW w:w="13495" w:type="dxa"/>
            <w:gridSpan w:val="3"/>
            <w:tcBorders>
              <w:top w:val="nil"/>
              <w:left w:val="nil"/>
              <w:bottom w:val="nil"/>
              <w:right w:val="nil"/>
            </w:tcBorders>
            <w:shd w:val="clear" w:color="auto" w:fill="auto"/>
            <w:vAlign w:val="center"/>
          </w:tcPr>
          <w:p>
            <w:pPr>
              <w:widowControl/>
              <w:jc w:val="center"/>
              <w:rPr>
                <w:rFonts w:ascii="方正仿宋_GBK" w:eastAsia="方正仿宋_GBK" w:cs="宋体" w:hAnsiTheme="majorEastAsia"/>
                <w:b/>
                <w:bCs/>
                <w:kern w:val="0"/>
                <w:sz w:val="32"/>
                <w:szCs w:val="32"/>
              </w:rPr>
            </w:pPr>
            <w:r>
              <w:rPr>
                <w:rFonts w:hint="eastAsia" w:ascii="方正仿宋_GBK" w:eastAsia="方正仿宋_GBK" w:cs="宋体" w:hAnsiTheme="majorEastAsia"/>
                <w:b/>
                <w:bCs/>
                <w:kern w:val="0"/>
                <w:sz w:val="32"/>
                <w:szCs w:val="32"/>
              </w:rPr>
              <w:t>霸州市城市管理行政执法局固定资产占用情况表</w:t>
            </w:r>
          </w:p>
        </w:tc>
      </w:tr>
      <w:tr>
        <w:tblPrEx>
          <w:tblLayout w:type="fixed"/>
          <w:tblCellMar>
            <w:top w:w="0" w:type="dxa"/>
            <w:left w:w="108" w:type="dxa"/>
            <w:bottom w:w="0" w:type="dxa"/>
            <w:right w:w="108" w:type="dxa"/>
          </w:tblCellMar>
        </w:tblPrEx>
        <w:trPr>
          <w:trHeight w:val="57" w:hRule="atLeast"/>
        </w:trPr>
        <w:tc>
          <w:tcPr>
            <w:tcW w:w="8387" w:type="dxa"/>
            <w:gridSpan w:val="2"/>
            <w:tcBorders>
              <w:top w:val="nil"/>
              <w:left w:val="nil"/>
              <w:bottom w:val="nil"/>
              <w:right w:val="nil"/>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编制部门：814霸州市城市管理行政执法局</w:t>
            </w:r>
          </w:p>
        </w:tc>
        <w:tc>
          <w:tcPr>
            <w:tcW w:w="5108" w:type="dxa"/>
            <w:tcBorders>
              <w:top w:val="nil"/>
              <w:left w:val="nil"/>
              <w:bottom w:val="nil"/>
              <w:right w:val="nil"/>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 xml:space="preserve">截止时间：2017年12月31日  </w:t>
            </w:r>
          </w:p>
        </w:tc>
      </w:tr>
      <w:tr>
        <w:tblPrEx>
          <w:tblLayout w:type="fixed"/>
          <w:tblCellMar>
            <w:top w:w="0" w:type="dxa"/>
            <w:left w:w="108" w:type="dxa"/>
            <w:bottom w:w="0" w:type="dxa"/>
            <w:right w:w="108" w:type="dxa"/>
          </w:tblCellMar>
        </w:tblPrEx>
        <w:trPr>
          <w:trHeight w:val="57" w:hRule="atLeast"/>
        </w:trPr>
        <w:tc>
          <w:tcPr>
            <w:tcW w:w="5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b/>
                <w:bCs/>
                <w:kern w:val="0"/>
                <w:sz w:val="22"/>
              </w:rPr>
            </w:pPr>
            <w:r>
              <w:rPr>
                <w:rFonts w:hint="eastAsia" w:ascii="方正仿宋_GBK" w:eastAsia="方正仿宋_GBK" w:cs="宋体" w:hAnsiTheme="majorEastAsia"/>
                <w:b/>
                <w:bCs/>
                <w:kern w:val="0"/>
                <w:sz w:val="22"/>
              </w:rPr>
              <w:t>项   目</w:t>
            </w:r>
          </w:p>
        </w:tc>
        <w:tc>
          <w:tcPr>
            <w:tcW w:w="31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b/>
                <w:bCs/>
                <w:kern w:val="0"/>
                <w:sz w:val="22"/>
              </w:rPr>
            </w:pPr>
            <w:r>
              <w:rPr>
                <w:rFonts w:hint="eastAsia" w:ascii="方正仿宋_GBK" w:eastAsia="方正仿宋_GBK" w:cs="宋体" w:hAnsiTheme="majorEastAsia"/>
                <w:b/>
                <w:bCs/>
                <w:kern w:val="0"/>
                <w:sz w:val="22"/>
              </w:rPr>
              <w:t>数量</w:t>
            </w:r>
          </w:p>
        </w:tc>
        <w:tc>
          <w:tcPr>
            <w:tcW w:w="5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b/>
                <w:bCs/>
                <w:kern w:val="0"/>
                <w:sz w:val="22"/>
              </w:rPr>
            </w:pPr>
            <w:r>
              <w:rPr>
                <w:rFonts w:hint="eastAsia" w:ascii="方正仿宋_GBK" w:eastAsia="方正仿宋_GBK" w:cs="宋体" w:hAnsiTheme="majorEastAsia"/>
                <w:b/>
                <w:bCs/>
                <w:kern w:val="0"/>
                <w:sz w:val="22"/>
              </w:rPr>
              <w:t>价值（金额单位：万元）</w:t>
            </w:r>
          </w:p>
        </w:tc>
      </w:tr>
      <w:tr>
        <w:tblPrEx>
          <w:tblLayout w:type="fixed"/>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资产总额</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w:t>
            </w: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866.24</w:t>
            </w:r>
          </w:p>
        </w:tc>
      </w:tr>
      <w:tr>
        <w:tblPrEx>
          <w:tblLayout w:type="fixed"/>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1、房屋（平方米）</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r>
      <w:tr>
        <w:tblPrEx>
          <w:tblLayout w:type="fixed"/>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 xml:space="preserve">   其中：办公用房（平方米）</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r>
      <w:tr>
        <w:tblPrEx>
          <w:tblLayout w:type="fixed"/>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2、车辆（台、辆）</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65</w:t>
            </w: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482.57</w:t>
            </w:r>
          </w:p>
        </w:tc>
      </w:tr>
      <w:tr>
        <w:tblPrEx>
          <w:tblLayout w:type="fixed"/>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3、单价在20万元以上的设备</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r>
      <w:tr>
        <w:tblPrEx>
          <w:tblLayout w:type="fixed"/>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4、其他固定资产</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383.67</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、一般公共预算拨款收入：指市级财政当年拨付的资金。</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hAnsi="Calibri" w:eastAsia="仿宋_GB2312" w:cs="Times New Roman"/>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经费：纳入市级财政预算管理的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3" w:firstLineChars="200"/>
        <w:jc w:val="left"/>
        <w:rPr>
          <w:rFonts w:ascii="仿宋_GB2312" w:hAnsi="Calibri" w:eastAsia="仿宋_GB2312" w:cs="Times New Roman"/>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九、其</w:t>
      </w:r>
      <w:r>
        <w:rPr>
          <w:rFonts w:hint="eastAsia" w:ascii="黑体" w:eastAsia="黑体" w:cs="Times New Roman" w:hAnsiTheme="majorEastAsia"/>
          <w:bCs/>
          <w:sz w:val="32"/>
          <w:szCs w:val="32"/>
          <w:lang w:val="en-US" w:eastAsia="zh-CN"/>
        </w:rPr>
        <w:t>他</w:t>
      </w:r>
      <w:r>
        <w:rPr>
          <w:rFonts w:hint="eastAsia" w:ascii="黑体" w:eastAsia="黑体" w:cs="Times New Roman" w:hAnsiTheme="majorEastAsia"/>
          <w:bCs/>
          <w:sz w:val="32"/>
          <w:szCs w:val="32"/>
        </w:rPr>
        <w:t>需要说明的事项</w:t>
      </w:r>
    </w:p>
    <w:p>
      <w:pPr>
        <w:tabs>
          <w:tab w:val="left" w:pos="11490"/>
        </w:tabs>
        <w:ind w:firstLine="640" w:firstLineChars="200"/>
        <w:rPr>
          <w:rFonts w:ascii="仿宋_GB2312" w:eastAsia="仿宋_GB2312" w:cs="Times New Roman" w:hAnsiTheme="majorEastAsia"/>
          <w:sz w:val="32"/>
          <w:szCs w:val="32"/>
        </w:rPr>
      </w:pPr>
      <w:r>
        <w:rPr>
          <w:rFonts w:hint="eastAsia" w:ascii="仿宋" w:hAnsi="仿宋" w:eastAsia="仿宋" w:cs="仿宋"/>
          <w:sz w:val="32"/>
          <w:szCs w:val="32"/>
        </w:rPr>
        <w:t>无其</w:t>
      </w:r>
      <w:r>
        <w:rPr>
          <w:rFonts w:hint="eastAsia" w:ascii="仿宋" w:hAnsi="仿宋" w:eastAsia="仿宋" w:cs="仿宋"/>
          <w:sz w:val="32"/>
          <w:szCs w:val="32"/>
          <w:lang w:val="en-US" w:eastAsia="zh-CN"/>
        </w:rPr>
        <w:t>他</w:t>
      </w:r>
      <w:r>
        <w:rPr>
          <w:rFonts w:hint="eastAsia" w:ascii="仿宋" w:hAnsi="仿宋" w:eastAsia="仿宋" w:cs="仿宋"/>
          <w:sz w:val="32"/>
          <w:szCs w:val="32"/>
        </w:rPr>
        <w:t>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SimSun-ExtB"/>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11AE7"/>
    <w:rsid w:val="00037AF6"/>
    <w:rsid w:val="00045A61"/>
    <w:rsid w:val="00075D5F"/>
    <w:rsid w:val="000C3A19"/>
    <w:rsid w:val="000C6189"/>
    <w:rsid w:val="000D3194"/>
    <w:rsid w:val="000F57B2"/>
    <w:rsid w:val="00110FEB"/>
    <w:rsid w:val="001245BB"/>
    <w:rsid w:val="00141531"/>
    <w:rsid w:val="00157266"/>
    <w:rsid w:val="00184343"/>
    <w:rsid w:val="0018479D"/>
    <w:rsid w:val="001B222F"/>
    <w:rsid w:val="001D3F06"/>
    <w:rsid w:val="001D67DF"/>
    <w:rsid w:val="001E6F94"/>
    <w:rsid w:val="00203FCB"/>
    <w:rsid w:val="00223FC1"/>
    <w:rsid w:val="00241FD4"/>
    <w:rsid w:val="00251B12"/>
    <w:rsid w:val="002645FB"/>
    <w:rsid w:val="00265250"/>
    <w:rsid w:val="002652B4"/>
    <w:rsid w:val="00273ECA"/>
    <w:rsid w:val="00277185"/>
    <w:rsid w:val="0028053C"/>
    <w:rsid w:val="00280953"/>
    <w:rsid w:val="00281918"/>
    <w:rsid w:val="00296113"/>
    <w:rsid w:val="002A126E"/>
    <w:rsid w:val="002A591B"/>
    <w:rsid w:val="002A6BDF"/>
    <w:rsid w:val="002F3E58"/>
    <w:rsid w:val="002F4671"/>
    <w:rsid w:val="0030542C"/>
    <w:rsid w:val="00310970"/>
    <w:rsid w:val="00311B7A"/>
    <w:rsid w:val="00314AA3"/>
    <w:rsid w:val="00365DB3"/>
    <w:rsid w:val="00371B93"/>
    <w:rsid w:val="00385EC2"/>
    <w:rsid w:val="003A42AA"/>
    <w:rsid w:val="003A4525"/>
    <w:rsid w:val="003A5467"/>
    <w:rsid w:val="003C1853"/>
    <w:rsid w:val="003D02F2"/>
    <w:rsid w:val="003D7267"/>
    <w:rsid w:val="003E1A7F"/>
    <w:rsid w:val="003F10CF"/>
    <w:rsid w:val="003F3783"/>
    <w:rsid w:val="003F6ED1"/>
    <w:rsid w:val="003F71EA"/>
    <w:rsid w:val="004215E9"/>
    <w:rsid w:val="00423EFA"/>
    <w:rsid w:val="004468A8"/>
    <w:rsid w:val="00451871"/>
    <w:rsid w:val="00472923"/>
    <w:rsid w:val="0047432E"/>
    <w:rsid w:val="004A0773"/>
    <w:rsid w:val="004A7785"/>
    <w:rsid w:val="004E3066"/>
    <w:rsid w:val="004E74CD"/>
    <w:rsid w:val="00503846"/>
    <w:rsid w:val="00504B62"/>
    <w:rsid w:val="005104C6"/>
    <w:rsid w:val="00512D69"/>
    <w:rsid w:val="0052189C"/>
    <w:rsid w:val="00541A07"/>
    <w:rsid w:val="00570276"/>
    <w:rsid w:val="00573562"/>
    <w:rsid w:val="005754B7"/>
    <w:rsid w:val="005C0C90"/>
    <w:rsid w:val="005C2C40"/>
    <w:rsid w:val="005D555C"/>
    <w:rsid w:val="00614A29"/>
    <w:rsid w:val="00615607"/>
    <w:rsid w:val="006355A7"/>
    <w:rsid w:val="00647AE8"/>
    <w:rsid w:val="006561CE"/>
    <w:rsid w:val="0068104D"/>
    <w:rsid w:val="0068705E"/>
    <w:rsid w:val="006A2A30"/>
    <w:rsid w:val="006A524E"/>
    <w:rsid w:val="006C71D2"/>
    <w:rsid w:val="006F2433"/>
    <w:rsid w:val="00704A09"/>
    <w:rsid w:val="0070593E"/>
    <w:rsid w:val="007169AB"/>
    <w:rsid w:val="0075393C"/>
    <w:rsid w:val="00755F39"/>
    <w:rsid w:val="0076584E"/>
    <w:rsid w:val="007757EA"/>
    <w:rsid w:val="00776C08"/>
    <w:rsid w:val="00783E23"/>
    <w:rsid w:val="00785359"/>
    <w:rsid w:val="00793BEA"/>
    <w:rsid w:val="007B3721"/>
    <w:rsid w:val="007B404C"/>
    <w:rsid w:val="007B4EE0"/>
    <w:rsid w:val="007B69F7"/>
    <w:rsid w:val="007C25D8"/>
    <w:rsid w:val="007E1DA8"/>
    <w:rsid w:val="007F1C5C"/>
    <w:rsid w:val="007F6C26"/>
    <w:rsid w:val="00803B75"/>
    <w:rsid w:val="00815768"/>
    <w:rsid w:val="008332CF"/>
    <w:rsid w:val="008334AE"/>
    <w:rsid w:val="00836FED"/>
    <w:rsid w:val="00845CD2"/>
    <w:rsid w:val="008502D8"/>
    <w:rsid w:val="00852B0D"/>
    <w:rsid w:val="00861C1D"/>
    <w:rsid w:val="00862D92"/>
    <w:rsid w:val="00863F91"/>
    <w:rsid w:val="00881692"/>
    <w:rsid w:val="00886AA3"/>
    <w:rsid w:val="008A71FF"/>
    <w:rsid w:val="008B3CC5"/>
    <w:rsid w:val="008C2BAF"/>
    <w:rsid w:val="008E4261"/>
    <w:rsid w:val="008F4662"/>
    <w:rsid w:val="00905D08"/>
    <w:rsid w:val="00925753"/>
    <w:rsid w:val="00951F7B"/>
    <w:rsid w:val="009605F3"/>
    <w:rsid w:val="00966C5C"/>
    <w:rsid w:val="00973104"/>
    <w:rsid w:val="00980DCD"/>
    <w:rsid w:val="00986B70"/>
    <w:rsid w:val="0099545B"/>
    <w:rsid w:val="009A6011"/>
    <w:rsid w:val="009E2D26"/>
    <w:rsid w:val="00A359FE"/>
    <w:rsid w:val="00A36BAB"/>
    <w:rsid w:val="00A37BD8"/>
    <w:rsid w:val="00A421CD"/>
    <w:rsid w:val="00A55F0D"/>
    <w:rsid w:val="00A72D2E"/>
    <w:rsid w:val="00A80E26"/>
    <w:rsid w:val="00A852E3"/>
    <w:rsid w:val="00A911E7"/>
    <w:rsid w:val="00A917FF"/>
    <w:rsid w:val="00A939D9"/>
    <w:rsid w:val="00AA767B"/>
    <w:rsid w:val="00AB3749"/>
    <w:rsid w:val="00AC1EA8"/>
    <w:rsid w:val="00AE6D31"/>
    <w:rsid w:val="00AF7E5E"/>
    <w:rsid w:val="00B20712"/>
    <w:rsid w:val="00B338CF"/>
    <w:rsid w:val="00B43238"/>
    <w:rsid w:val="00B47803"/>
    <w:rsid w:val="00B75216"/>
    <w:rsid w:val="00B86EC2"/>
    <w:rsid w:val="00B91D52"/>
    <w:rsid w:val="00B93356"/>
    <w:rsid w:val="00BA1ACD"/>
    <w:rsid w:val="00BD24BE"/>
    <w:rsid w:val="00BE4966"/>
    <w:rsid w:val="00C216B6"/>
    <w:rsid w:val="00C4110E"/>
    <w:rsid w:val="00C52925"/>
    <w:rsid w:val="00C52C23"/>
    <w:rsid w:val="00C72978"/>
    <w:rsid w:val="00CA7176"/>
    <w:rsid w:val="00CD2773"/>
    <w:rsid w:val="00CE143B"/>
    <w:rsid w:val="00CF00DB"/>
    <w:rsid w:val="00D13D08"/>
    <w:rsid w:val="00D17F68"/>
    <w:rsid w:val="00D27285"/>
    <w:rsid w:val="00D504C5"/>
    <w:rsid w:val="00D53755"/>
    <w:rsid w:val="00D75F65"/>
    <w:rsid w:val="00D8163A"/>
    <w:rsid w:val="00D836C0"/>
    <w:rsid w:val="00D85A4C"/>
    <w:rsid w:val="00D900E6"/>
    <w:rsid w:val="00D9708D"/>
    <w:rsid w:val="00DA092E"/>
    <w:rsid w:val="00DF0FCA"/>
    <w:rsid w:val="00E01470"/>
    <w:rsid w:val="00E04A7D"/>
    <w:rsid w:val="00E10CFF"/>
    <w:rsid w:val="00E14843"/>
    <w:rsid w:val="00E167C7"/>
    <w:rsid w:val="00E3186F"/>
    <w:rsid w:val="00E44710"/>
    <w:rsid w:val="00E4508D"/>
    <w:rsid w:val="00E52F09"/>
    <w:rsid w:val="00E552DE"/>
    <w:rsid w:val="00E62488"/>
    <w:rsid w:val="00E71F7B"/>
    <w:rsid w:val="00E81411"/>
    <w:rsid w:val="00E920FB"/>
    <w:rsid w:val="00EA3ECC"/>
    <w:rsid w:val="00EC4091"/>
    <w:rsid w:val="00EC47F6"/>
    <w:rsid w:val="00EE1B43"/>
    <w:rsid w:val="00F153EF"/>
    <w:rsid w:val="00F16A11"/>
    <w:rsid w:val="00F16FF6"/>
    <w:rsid w:val="00F30465"/>
    <w:rsid w:val="00F30C34"/>
    <w:rsid w:val="00F32BF9"/>
    <w:rsid w:val="00F3539D"/>
    <w:rsid w:val="00F439C8"/>
    <w:rsid w:val="00F4699E"/>
    <w:rsid w:val="00F55FB6"/>
    <w:rsid w:val="00F66032"/>
    <w:rsid w:val="00F70DA3"/>
    <w:rsid w:val="00F958C2"/>
    <w:rsid w:val="00FC6758"/>
    <w:rsid w:val="00FD1DC9"/>
    <w:rsid w:val="02C100B0"/>
    <w:rsid w:val="08D60E4F"/>
    <w:rsid w:val="12D8728C"/>
    <w:rsid w:val="15AA25AD"/>
    <w:rsid w:val="18BA2640"/>
    <w:rsid w:val="1A985E65"/>
    <w:rsid w:val="1B4E7A8C"/>
    <w:rsid w:val="26BE494E"/>
    <w:rsid w:val="2A572BC1"/>
    <w:rsid w:val="2C374186"/>
    <w:rsid w:val="30174246"/>
    <w:rsid w:val="325318B2"/>
    <w:rsid w:val="41443275"/>
    <w:rsid w:val="4250639E"/>
    <w:rsid w:val="4329267A"/>
    <w:rsid w:val="435A6143"/>
    <w:rsid w:val="47EC5761"/>
    <w:rsid w:val="4846496F"/>
    <w:rsid w:val="510D4461"/>
    <w:rsid w:val="52670958"/>
    <w:rsid w:val="569B3346"/>
    <w:rsid w:val="571F03DC"/>
    <w:rsid w:val="5A9248F7"/>
    <w:rsid w:val="5AB40472"/>
    <w:rsid w:val="639F2FBA"/>
    <w:rsid w:val="6E947B81"/>
    <w:rsid w:val="6EE36B4E"/>
    <w:rsid w:val="711206A8"/>
    <w:rsid w:val="7B9B78C0"/>
    <w:rsid w:val="7BAA2A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正文样式"/>
    <w:basedOn w:val="1"/>
    <w:qFormat/>
    <w:uiPriority w:val="0"/>
    <w:pPr>
      <w:ind w:firstLine="480" w:firstLineChars="20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28BC7-9225-4430-9282-AE5EFDC4365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796</Words>
  <Characters>4541</Characters>
  <Lines>37</Lines>
  <Paragraphs>10</Paragraphs>
  <TotalTime>0</TotalTime>
  <ScaleCrop>false</ScaleCrop>
  <LinksUpToDate>false</LinksUpToDate>
  <CharactersWithSpaces>5327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无心之言*</cp:lastModifiedBy>
  <dcterms:modified xsi:type="dcterms:W3CDTF">2019-01-20T10:16:35Z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